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243C41E9" w:rsidR="00CE6E0D" w:rsidRPr="008418EE" w:rsidRDefault="00CE6E0D" w:rsidP="00CE6E0D">
      <w:pPr>
        <w:pStyle w:val="3GPPHeader"/>
        <w:spacing w:after="60"/>
        <w:rPr>
          <w:rFonts w:cs="Arial"/>
          <w:sz w:val="32"/>
          <w:szCs w:val="32"/>
          <w:highlight w:val="yellow"/>
        </w:rPr>
      </w:pPr>
      <w:r w:rsidRPr="009F6173">
        <w:rPr>
          <w:rFonts w:cs="Arial"/>
          <w:lang w:val="en-US"/>
        </w:rPr>
        <w:t>3GPP TSG-RAN WG1 Meeting #9</w:t>
      </w:r>
      <w:r w:rsidR="000A34CA">
        <w:rPr>
          <w:rFonts w:cs="Arial"/>
          <w:lang w:val="en-US"/>
        </w:rPr>
        <w:t>8</w:t>
      </w:r>
      <w:r w:rsidRPr="009F6173">
        <w:rPr>
          <w:rFonts w:cs="Arial"/>
          <w:lang w:val="en-US"/>
        </w:rPr>
        <w:tab/>
      </w:r>
      <w:r w:rsidRPr="009F6173">
        <w:rPr>
          <w:rFonts w:cs="Arial"/>
          <w:sz w:val="32"/>
          <w:szCs w:val="32"/>
          <w:lang w:val="en-US"/>
        </w:rPr>
        <w:t>R1-</w:t>
      </w:r>
      <w:r w:rsidR="00280DA1" w:rsidRPr="00280DA1">
        <w:rPr>
          <w:rFonts w:cs="Arial"/>
          <w:sz w:val="32"/>
          <w:szCs w:val="32"/>
          <w:lang w:val="en-US"/>
        </w:rPr>
        <w:t>1908917</w:t>
      </w:r>
    </w:p>
    <w:p w14:paraId="62AC86BE" w14:textId="4D206A01" w:rsidR="00CE6E0D" w:rsidRPr="009F6173" w:rsidRDefault="000A34CA" w:rsidP="00CE6E0D">
      <w:pPr>
        <w:pStyle w:val="3GPPHeader"/>
        <w:rPr>
          <w:rFonts w:cs="Arial"/>
          <w:lang w:val="en-US"/>
        </w:rPr>
      </w:pPr>
      <w:r>
        <w:rPr>
          <w:rFonts w:cs="Arial"/>
          <w:lang w:val="en-US"/>
        </w:rPr>
        <w:t>Prague, CZ, August</w:t>
      </w:r>
      <w:r w:rsidR="00CE6E0D" w:rsidRPr="009F6173">
        <w:rPr>
          <w:rFonts w:cs="Arial"/>
          <w:lang w:val="en-US"/>
        </w:rPr>
        <w:t xml:space="preserve"> </w:t>
      </w:r>
      <w:r>
        <w:rPr>
          <w:rFonts w:cs="Arial"/>
          <w:lang w:val="en-US"/>
        </w:rPr>
        <w:t>26</w:t>
      </w:r>
      <w:r w:rsidR="00CE6E0D" w:rsidRPr="009F6173">
        <w:rPr>
          <w:rFonts w:cs="Arial"/>
          <w:vertAlign w:val="superscript"/>
          <w:lang w:val="en-US"/>
        </w:rPr>
        <w:t>th</w:t>
      </w:r>
      <w:r w:rsidR="00CE6E0D" w:rsidRPr="009F6173">
        <w:rPr>
          <w:rFonts w:cs="Arial"/>
          <w:lang w:val="en-US"/>
        </w:rPr>
        <w:t xml:space="preserve"> – </w:t>
      </w:r>
      <w:r>
        <w:rPr>
          <w:rFonts w:cs="Arial"/>
          <w:lang w:val="en-US"/>
        </w:rPr>
        <w:t>30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7F5EB01A" w:rsidR="002820B0" w:rsidRPr="006B374B" w:rsidRDefault="002820B0" w:rsidP="002820B0">
      <w:pPr>
        <w:pStyle w:val="3GPPHeader"/>
        <w:rPr>
          <w:sz w:val="22"/>
          <w:szCs w:val="22"/>
          <w:lang w:val="en-US"/>
        </w:rPr>
      </w:pPr>
      <w:r w:rsidRPr="006B374B">
        <w:rPr>
          <w:sz w:val="22"/>
          <w:szCs w:val="22"/>
          <w:lang w:val="en-US"/>
        </w:rPr>
        <w:t>Agenda Item:</w:t>
      </w:r>
      <w:r w:rsidRPr="006B374B">
        <w:rPr>
          <w:sz w:val="22"/>
          <w:szCs w:val="22"/>
          <w:lang w:val="en-US"/>
        </w:rPr>
        <w:tab/>
      </w:r>
      <w:r w:rsidR="00D35863" w:rsidRPr="006B374B">
        <w:rPr>
          <w:sz w:val="22"/>
          <w:szCs w:val="22"/>
          <w:lang w:val="en-US"/>
        </w:rPr>
        <w:t>7.2.4.5</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3CDCFFCC" w:rsidR="002820B0" w:rsidRPr="00CE0424" w:rsidRDefault="002820B0" w:rsidP="002820B0">
      <w:pPr>
        <w:pStyle w:val="3GPPHeader"/>
        <w:rPr>
          <w:sz w:val="22"/>
          <w:szCs w:val="22"/>
        </w:rPr>
      </w:pPr>
      <w:r>
        <w:rPr>
          <w:sz w:val="22"/>
          <w:szCs w:val="22"/>
        </w:rPr>
        <w:t>Title:</w:t>
      </w:r>
      <w:r w:rsidRPr="00CE0424">
        <w:rPr>
          <w:sz w:val="22"/>
          <w:szCs w:val="22"/>
        </w:rPr>
        <w:tab/>
      </w:r>
      <w:r w:rsidR="00565F01" w:rsidRPr="00565F01">
        <w:rPr>
          <w:sz w:val="22"/>
          <w:szCs w:val="22"/>
        </w:rPr>
        <w:t xml:space="preserve">PHY layer procedures for </w:t>
      </w:r>
      <w:r w:rsidR="004A3541">
        <w:rPr>
          <w:sz w:val="22"/>
          <w:szCs w:val="22"/>
        </w:rPr>
        <w:t xml:space="preserve">NR </w:t>
      </w:r>
      <w:r w:rsidR="00565F01" w:rsidRPr="00565F01">
        <w:rPr>
          <w:sz w:val="22"/>
          <w:szCs w:val="22"/>
        </w:rPr>
        <w:t>sidelink</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D35863">
        <w:rPr>
          <w:sz w:val="22"/>
          <w:szCs w:val="22"/>
        </w:rPr>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33F07D49" w14:textId="71A7FCEA" w:rsidR="00565F01" w:rsidRPr="00565F01" w:rsidRDefault="00565F01" w:rsidP="00565F01">
      <w:pPr>
        <w:pStyle w:val="BodyText"/>
        <w:rPr>
          <w:rFonts w:eastAsia="Arial" w:cs="Arial"/>
          <w:lang w:val="en-US"/>
        </w:rPr>
      </w:pPr>
      <w:r w:rsidRPr="00565F01">
        <w:rPr>
          <w:rFonts w:eastAsia="Arial" w:cs="Arial"/>
          <w:lang w:val="en-US"/>
        </w:rPr>
        <w:t xml:space="preserve">A work item description (WID) for NR V2X Rel-16 has been agreed by RAN plenary #83 </w:t>
      </w:r>
      <w:r w:rsidRPr="00565F01">
        <w:rPr>
          <w:rFonts w:eastAsia="Arial" w:cs="Arial"/>
          <w:lang w:val="en-US"/>
        </w:rPr>
        <w:fldChar w:fldCharType="begin"/>
      </w:r>
      <w:r w:rsidRPr="00565F01">
        <w:rPr>
          <w:rFonts w:eastAsia="Arial" w:cs="Arial"/>
          <w:lang w:val="en-US"/>
        </w:rPr>
        <w:instrText xml:space="preserve"> REF _Ref4155288 \r \h  \* MERGEFORMAT </w:instrText>
      </w:r>
      <w:r w:rsidRPr="00565F01">
        <w:rPr>
          <w:rFonts w:eastAsia="Arial" w:cs="Arial"/>
          <w:lang w:val="en-US"/>
        </w:rPr>
      </w:r>
      <w:r w:rsidRPr="00565F01">
        <w:rPr>
          <w:rFonts w:eastAsia="Arial" w:cs="Arial"/>
          <w:lang w:val="en-US"/>
        </w:rPr>
        <w:fldChar w:fldCharType="separate"/>
      </w:r>
      <w:r w:rsidR="000526E5">
        <w:rPr>
          <w:rFonts w:eastAsia="Arial" w:cs="Arial"/>
          <w:lang w:val="en-US"/>
        </w:rPr>
        <w:t>[1]</w:t>
      </w:r>
      <w:r w:rsidRPr="00565F01">
        <w:rPr>
          <w:rFonts w:eastAsia="Arial" w:cs="Arial"/>
        </w:rPr>
        <w:fldChar w:fldCharType="end"/>
      </w:r>
      <w:r w:rsidRPr="00565F01">
        <w:rPr>
          <w:rFonts w:eastAsia="Arial" w:cs="Arial"/>
          <w:lang w:val="en-US"/>
        </w:rPr>
        <w:t>. In this paper we discuss the aspects related to sidelink physical layer procedures. In particular, the main topics includes:</w:t>
      </w:r>
    </w:p>
    <w:p w14:paraId="5A19783D" w14:textId="093D2221" w:rsidR="00565F01" w:rsidRDefault="00565F01" w:rsidP="007A4BD0">
      <w:pPr>
        <w:pStyle w:val="BodyText"/>
        <w:numPr>
          <w:ilvl w:val="0"/>
          <w:numId w:val="13"/>
        </w:numPr>
        <w:rPr>
          <w:rFonts w:eastAsia="Arial" w:cs="Arial"/>
          <w:lang w:val="en-US"/>
        </w:rPr>
      </w:pPr>
      <w:r>
        <w:rPr>
          <w:rFonts w:eastAsia="Arial" w:cs="Arial"/>
          <w:lang w:val="en-US"/>
        </w:rPr>
        <w:t>Sidelink Layer-1 ID</w:t>
      </w:r>
      <w:r w:rsidR="006322CC">
        <w:rPr>
          <w:rFonts w:eastAsia="Arial" w:cs="Arial"/>
          <w:lang w:val="en-US"/>
        </w:rPr>
        <w:t>s</w:t>
      </w:r>
      <w:r w:rsidR="005653B5">
        <w:rPr>
          <w:rFonts w:eastAsia="Arial" w:cs="Arial"/>
          <w:lang w:val="en-US"/>
        </w:rPr>
        <w:t>.</w:t>
      </w:r>
      <w:r>
        <w:rPr>
          <w:rFonts w:eastAsia="Arial" w:cs="Arial"/>
          <w:lang w:val="en-US"/>
        </w:rPr>
        <w:t xml:space="preserve"> </w:t>
      </w:r>
    </w:p>
    <w:p w14:paraId="2C031FCE" w14:textId="09530B15" w:rsidR="00565F01" w:rsidRPr="00565F01" w:rsidRDefault="00565F01" w:rsidP="007A4BD0">
      <w:pPr>
        <w:pStyle w:val="BodyText"/>
        <w:numPr>
          <w:ilvl w:val="0"/>
          <w:numId w:val="13"/>
        </w:numPr>
        <w:rPr>
          <w:rFonts w:eastAsia="Arial" w:cs="Arial"/>
          <w:lang w:val="en-US"/>
        </w:rPr>
      </w:pPr>
      <w:r w:rsidRPr="00565F01">
        <w:rPr>
          <w:rFonts w:eastAsia="Arial" w:cs="Arial"/>
          <w:lang w:val="en-US"/>
        </w:rPr>
        <w:t xml:space="preserve">Sidelink HARQ </w:t>
      </w:r>
      <w:r w:rsidR="005653B5">
        <w:rPr>
          <w:rFonts w:eastAsia="Arial" w:cs="Arial"/>
          <w:lang w:val="en-US"/>
        </w:rPr>
        <w:t>procedures.</w:t>
      </w:r>
    </w:p>
    <w:p w14:paraId="0EE7E3DA" w14:textId="51DCD5DB" w:rsidR="00565F01" w:rsidRDefault="00565F01" w:rsidP="007A4BD0">
      <w:pPr>
        <w:pStyle w:val="BodyText"/>
        <w:numPr>
          <w:ilvl w:val="0"/>
          <w:numId w:val="13"/>
        </w:numPr>
        <w:rPr>
          <w:rFonts w:eastAsia="Arial" w:cs="Arial"/>
          <w:lang w:val="en-US"/>
        </w:rPr>
      </w:pPr>
      <w:r w:rsidRPr="00565F01">
        <w:rPr>
          <w:rFonts w:eastAsia="Arial" w:cs="Arial"/>
          <w:lang w:val="en-US"/>
        </w:rPr>
        <w:t>Sidelink CSI report</w:t>
      </w:r>
      <w:r w:rsidR="005653B5">
        <w:rPr>
          <w:rFonts w:eastAsia="Arial" w:cs="Arial"/>
          <w:lang w:val="en-US"/>
        </w:rPr>
        <w:t>s</w:t>
      </w:r>
      <w:r w:rsidRPr="00565F01">
        <w:rPr>
          <w:rFonts w:eastAsia="Arial" w:cs="Arial"/>
          <w:lang w:val="en-US"/>
        </w:rPr>
        <w:t xml:space="preserve"> and sidelink CSI-RS</w:t>
      </w:r>
      <w:r>
        <w:rPr>
          <w:rFonts w:eastAsia="Arial" w:cs="Arial"/>
          <w:lang w:val="en-US"/>
        </w:rPr>
        <w:t xml:space="preserve"> </w:t>
      </w:r>
      <w:r w:rsidR="005653B5">
        <w:rPr>
          <w:rFonts w:eastAsia="Arial" w:cs="Arial"/>
          <w:lang w:val="en-US"/>
        </w:rPr>
        <w:t xml:space="preserve">transmissions. </w:t>
      </w:r>
      <w:r>
        <w:rPr>
          <w:rFonts w:eastAsia="Arial" w:cs="Arial"/>
          <w:lang w:val="en-US"/>
        </w:rPr>
        <w:t xml:space="preserve"> </w:t>
      </w:r>
    </w:p>
    <w:p w14:paraId="48FC33AE" w14:textId="2005195D" w:rsidR="00565F01" w:rsidRPr="00565F01" w:rsidRDefault="00565F01" w:rsidP="007A4BD0">
      <w:pPr>
        <w:pStyle w:val="BodyText"/>
        <w:numPr>
          <w:ilvl w:val="0"/>
          <w:numId w:val="13"/>
        </w:numPr>
        <w:rPr>
          <w:rFonts w:eastAsia="Arial" w:cs="Arial"/>
          <w:color w:val="FF0000"/>
          <w:lang w:val="en-US"/>
        </w:rPr>
      </w:pPr>
      <w:r>
        <w:rPr>
          <w:rFonts w:eastAsia="Arial" w:cs="Arial"/>
          <w:lang w:val="en-US"/>
        </w:rPr>
        <w:t>Sidelink multi-antenna transmission</w:t>
      </w:r>
      <w:r w:rsidR="006322CC">
        <w:rPr>
          <w:rFonts w:eastAsia="Arial" w:cs="Arial"/>
          <w:lang w:val="en-US"/>
        </w:rPr>
        <w:t>s</w:t>
      </w:r>
      <w:r w:rsidR="005653B5">
        <w:rPr>
          <w:rFonts w:eastAsia="Arial" w:cs="Arial"/>
          <w:lang w:val="en-US"/>
        </w:rPr>
        <w:t>.</w:t>
      </w:r>
      <w:r>
        <w:rPr>
          <w:rFonts w:eastAsia="Arial" w:cs="Arial"/>
          <w:lang w:val="en-US"/>
        </w:rPr>
        <w:t xml:space="preserve"> </w:t>
      </w:r>
    </w:p>
    <w:p w14:paraId="711CD6A4" w14:textId="7EAAC05A" w:rsidR="00565F01" w:rsidRPr="00565F01" w:rsidRDefault="0009007F" w:rsidP="007A4BD0">
      <w:pPr>
        <w:pStyle w:val="BodyText"/>
        <w:numPr>
          <w:ilvl w:val="0"/>
          <w:numId w:val="13"/>
        </w:numPr>
        <w:rPr>
          <w:rFonts w:eastAsia="Arial" w:cs="Arial"/>
          <w:lang w:val="en-US"/>
        </w:rPr>
      </w:pPr>
      <w:r>
        <w:rPr>
          <w:rFonts w:eastAsia="Arial" w:cs="Arial"/>
          <w:lang w:val="en-US"/>
        </w:rPr>
        <w:t>Sidelink</w:t>
      </w:r>
      <w:r w:rsidR="00565F01" w:rsidRPr="00565F01">
        <w:rPr>
          <w:rFonts w:eastAsia="Arial" w:cs="Arial"/>
          <w:lang w:val="en-US"/>
        </w:rPr>
        <w:t xml:space="preserve"> power control</w:t>
      </w:r>
      <w:r w:rsidR="005653B5">
        <w:rPr>
          <w:rFonts w:eastAsia="Arial" w:cs="Arial"/>
          <w:lang w:val="en-US"/>
        </w:rPr>
        <w:t>.</w:t>
      </w:r>
      <w:r w:rsidR="00565F01">
        <w:rPr>
          <w:rFonts w:eastAsia="Arial" w:cs="Arial"/>
          <w:lang w:val="en-US"/>
        </w:rPr>
        <w:t xml:space="preserve"> </w:t>
      </w:r>
    </w:p>
    <w:p w14:paraId="49139ECE" w14:textId="5C538669" w:rsidR="002820B0" w:rsidRDefault="002820B0" w:rsidP="002820B0">
      <w:pPr>
        <w:pStyle w:val="Heading1"/>
      </w:pPr>
      <w:bookmarkStart w:id="0" w:name="_Ref178064866"/>
      <w:r>
        <w:t>2</w:t>
      </w:r>
      <w:r>
        <w:tab/>
      </w:r>
      <w:bookmarkEnd w:id="0"/>
      <w:r w:rsidR="00565F01">
        <w:t>Sidelink Layer-1 ID</w:t>
      </w:r>
      <w:r w:rsidR="006322CC">
        <w:t>s</w:t>
      </w:r>
      <w:r w:rsidR="00565F01">
        <w:t xml:space="preserve"> </w:t>
      </w:r>
    </w:p>
    <w:p w14:paraId="21BE2B0B" w14:textId="7E0F8DE8" w:rsidR="00776BFA" w:rsidRDefault="00B92FA4" w:rsidP="00776BFA">
      <w:pPr>
        <w:jc w:val="both"/>
      </w:pPr>
      <w:r>
        <w:t>During the SI of NR V2X, it was agreed t</w:t>
      </w:r>
      <w:r w:rsidR="00B50749">
        <w:t>hat the SCI can carry</w:t>
      </w:r>
      <w:r>
        <w:t xml:space="preserve"> </w:t>
      </w:r>
      <w:r w:rsidR="00F50BF8">
        <w:t>Layer-1 source and destination IDs</w:t>
      </w:r>
      <w:r w:rsidR="0074764E">
        <w:t>. However, the presence of Layer-</w:t>
      </w:r>
      <w:r w:rsidR="007972C0">
        <w:t>1</w:t>
      </w:r>
      <w:r w:rsidR="0074764E">
        <w:t xml:space="preserve"> source and destination IDs </w:t>
      </w:r>
      <w:r w:rsidR="004A7B50">
        <w:t xml:space="preserve">in case of different transmission types (unicast/groupcast/broadcast) and </w:t>
      </w:r>
      <w:r w:rsidR="004D566B">
        <w:t>the determination</w:t>
      </w:r>
      <w:r w:rsidR="006A2B60">
        <w:t xml:space="preserve"> of such Layer-1 IDs is still to be discussed. In the following, we discuss our views on </w:t>
      </w:r>
      <w:r w:rsidR="00776BFA">
        <w:t>Layer-1 IDs.</w:t>
      </w:r>
    </w:p>
    <w:p w14:paraId="70E692CD" w14:textId="05BB3D6A" w:rsidR="000E044E" w:rsidRDefault="000E044E" w:rsidP="00545254">
      <w:pPr>
        <w:jc w:val="both"/>
      </w:pPr>
      <w:r>
        <w:t>For</w:t>
      </w:r>
      <w:r w:rsidRPr="00AA32CB">
        <w:t xml:space="preserve"> broadcast, </w:t>
      </w:r>
      <w:r>
        <w:t>there is no need to have L1 source and destination ID</w:t>
      </w:r>
      <w:r w:rsidR="00776BFA">
        <w:t>,</w:t>
      </w:r>
      <w:r>
        <w:t xml:space="preserve"> and we can reuse the design of LTE V2X</w:t>
      </w:r>
      <w:r w:rsidR="00172AFD">
        <w:t>,</w:t>
      </w:r>
      <w:r>
        <w:t xml:space="preserve"> i.e. packet filtering is performed at L2 and L2 source/destination ID is conveyed in MAC header. </w:t>
      </w:r>
      <w:r w:rsidRPr="00AA32CB">
        <w:t>As such, L</w:t>
      </w:r>
      <w:r>
        <w:t>2</w:t>
      </w:r>
      <w:r w:rsidRPr="00AA32CB">
        <w:t xml:space="preserve"> source ID reflects the transmitter UE while L</w:t>
      </w:r>
      <w:r>
        <w:t>2</w:t>
      </w:r>
      <w:r w:rsidRPr="00AA32CB">
        <w:t xml:space="preserve"> destination ID reflects the </w:t>
      </w:r>
      <w:r>
        <w:t>in</w:t>
      </w:r>
      <w:r w:rsidRPr="00AA32CB">
        <w:t>tended service.</w:t>
      </w:r>
    </w:p>
    <w:p w14:paraId="589AC2AC" w14:textId="77777777" w:rsidR="000E044E" w:rsidRDefault="000E044E" w:rsidP="000E044E">
      <w:pPr>
        <w:pStyle w:val="Proposal"/>
      </w:pPr>
      <w:bookmarkStart w:id="1" w:name="_Toc7782237"/>
      <w:bookmarkStart w:id="2" w:name="_Toc16871125"/>
      <w:r>
        <w:t>In case of NR V2X broadcast, source and destination IDs are conveyed only in MAC sub-header as in LTE V2X.</w:t>
      </w:r>
      <w:bookmarkEnd w:id="1"/>
      <w:bookmarkEnd w:id="2"/>
      <w:r>
        <w:t xml:space="preserve">  </w:t>
      </w:r>
    </w:p>
    <w:p w14:paraId="442B3898" w14:textId="3939DFA9" w:rsidR="000E044E" w:rsidRPr="00AA32CB" w:rsidRDefault="000E044E" w:rsidP="0028498D">
      <w:pPr>
        <w:jc w:val="both"/>
      </w:pPr>
      <w:r>
        <w:t xml:space="preserve">In case of unicast </w:t>
      </w:r>
      <w:r w:rsidR="00E03574">
        <w:t>and groupcast</w:t>
      </w:r>
      <w:r>
        <w:t>, i</w:t>
      </w:r>
      <w:r w:rsidRPr="00AA32CB">
        <w:t>t seems natur</w:t>
      </w:r>
      <w:r>
        <w:t>al</w:t>
      </w:r>
      <w:r w:rsidRPr="00AA32CB">
        <w:t xml:space="preserve"> to let </w:t>
      </w:r>
      <w:r>
        <w:t>layer-2</w:t>
      </w:r>
      <w:r w:rsidRPr="00AA32CB">
        <w:t xml:space="preserve"> determine L1 IDs based on given L2 IDs.</w:t>
      </w:r>
      <w:r>
        <w:t xml:space="preserve"> </w:t>
      </w:r>
    </w:p>
    <w:p w14:paraId="4926FF94" w14:textId="7C462E95" w:rsidR="000E044E" w:rsidRPr="00045129" w:rsidRDefault="000E044E" w:rsidP="000E044E">
      <w:pPr>
        <w:pStyle w:val="Proposal"/>
        <w:overflowPunct/>
        <w:autoSpaceDE/>
        <w:autoSpaceDN/>
        <w:adjustRightInd/>
        <w:spacing w:after="160" w:line="259" w:lineRule="auto"/>
        <w:jc w:val="left"/>
        <w:textAlignment w:val="auto"/>
        <w:rPr>
          <w:lang w:val="en-US"/>
        </w:rPr>
      </w:pPr>
      <w:bookmarkStart w:id="3" w:name="_Toc7782238"/>
      <w:bookmarkStart w:id="4" w:name="_Toc16871126"/>
      <w:r>
        <w:rPr>
          <w:lang w:val="en-US"/>
        </w:rPr>
        <w:t xml:space="preserve">In case of NR V2X unicast and groupcast, </w:t>
      </w:r>
      <w:r w:rsidRPr="00045129">
        <w:rPr>
          <w:lang w:val="en-US"/>
        </w:rPr>
        <w:t xml:space="preserve">L2 determines L1 IDs based on given full L2 source/destination IDs from </w:t>
      </w:r>
      <w:r w:rsidR="00FB5279">
        <w:rPr>
          <w:lang w:val="en-US"/>
        </w:rPr>
        <w:t xml:space="preserve">the </w:t>
      </w:r>
      <w:r w:rsidRPr="00045129">
        <w:rPr>
          <w:lang w:val="en-US"/>
        </w:rPr>
        <w:t>upper layers.</w:t>
      </w:r>
      <w:bookmarkEnd w:id="3"/>
      <w:bookmarkEnd w:id="4"/>
    </w:p>
    <w:p w14:paraId="6D3D6495" w14:textId="7B3BCA04" w:rsidR="006F5C60" w:rsidRDefault="006F5C60" w:rsidP="007D2691">
      <w:pPr>
        <w:jc w:val="both"/>
        <w:rPr>
          <w:lang w:val="en-US"/>
        </w:rPr>
      </w:pPr>
      <w:r w:rsidRPr="00045129">
        <w:rPr>
          <w:lang w:val="en-US"/>
        </w:rPr>
        <w:t>On the other hand, conveying full source/destination ID, e.g. 24 bits, in SCI also produce</w:t>
      </w:r>
      <w:r w:rsidR="00FF04BD">
        <w:t>s</w:t>
      </w:r>
      <w:r w:rsidRPr="00045129">
        <w:rPr>
          <w:lang w:val="en-US"/>
        </w:rPr>
        <w:t xml:space="preserve"> quite </w:t>
      </w:r>
      <w:r>
        <w:rPr>
          <w:lang w:val="en-US"/>
        </w:rPr>
        <w:t xml:space="preserve">large </w:t>
      </w:r>
      <w:r w:rsidRPr="00045129">
        <w:rPr>
          <w:lang w:val="en-US"/>
        </w:rPr>
        <w:t xml:space="preserve">overhead to </w:t>
      </w:r>
      <w:r w:rsidR="0077089D">
        <w:rPr>
          <w:lang w:val="en-US"/>
        </w:rPr>
        <w:t>L</w:t>
      </w:r>
      <w:r w:rsidRPr="00045129">
        <w:rPr>
          <w:lang w:val="en-US"/>
        </w:rPr>
        <w:t>ayer</w:t>
      </w:r>
      <w:r w:rsidR="0077089D">
        <w:rPr>
          <w:lang w:val="en-US"/>
        </w:rPr>
        <w:t>-1</w:t>
      </w:r>
      <w:r w:rsidRPr="00045129">
        <w:rPr>
          <w:lang w:val="en-US"/>
        </w:rPr>
        <w:t xml:space="preserve"> </w:t>
      </w:r>
      <w:r>
        <w:rPr>
          <w:lang w:val="en-US"/>
        </w:rPr>
        <w:t>signaling</w:t>
      </w:r>
      <w:r w:rsidR="007D2691">
        <w:rPr>
          <w:lang w:val="en-US"/>
        </w:rPr>
        <w:t>,</w:t>
      </w:r>
      <w:r>
        <w:rPr>
          <w:lang w:val="en-US"/>
        </w:rPr>
        <w:t xml:space="preserve"> </w:t>
      </w:r>
      <w:r w:rsidR="007D2691">
        <w:rPr>
          <w:lang w:val="en-US"/>
        </w:rPr>
        <w:t>e</w:t>
      </w:r>
      <w:r w:rsidRPr="00045129">
        <w:rPr>
          <w:lang w:val="en-US"/>
        </w:rPr>
        <w:t xml:space="preserve">specially considering the </w:t>
      </w:r>
      <w:r>
        <w:rPr>
          <w:lang w:val="en-US"/>
        </w:rPr>
        <w:t>limited bandwidth available</w:t>
      </w:r>
      <w:r w:rsidRPr="00045129">
        <w:rPr>
          <w:lang w:val="en-US"/>
        </w:rPr>
        <w:t xml:space="preserve"> </w:t>
      </w:r>
      <w:r>
        <w:rPr>
          <w:lang w:val="en-US"/>
        </w:rPr>
        <w:t>for</w:t>
      </w:r>
      <w:r w:rsidRPr="00045129">
        <w:rPr>
          <w:lang w:val="en-US"/>
        </w:rPr>
        <w:t xml:space="preserve"> SCI</w:t>
      </w:r>
      <w:r>
        <w:rPr>
          <w:lang w:val="en-US"/>
        </w:rPr>
        <w:t xml:space="preserve"> transmission</w:t>
      </w:r>
      <w:r w:rsidRPr="00045129">
        <w:rPr>
          <w:lang w:val="en-US"/>
        </w:rPr>
        <w:t xml:space="preserve">. </w:t>
      </w:r>
      <w:r>
        <w:rPr>
          <w:lang w:val="en-US"/>
        </w:rPr>
        <w:t>Therefore, t</w:t>
      </w:r>
      <w:r w:rsidRPr="00045129">
        <w:rPr>
          <w:lang w:val="en-US"/>
        </w:rPr>
        <w:t>o balance the perfo</w:t>
      </w:r>
      <w:r>
        <w:rPr>
          <w:lang w:val="en-US"/>
        </w:rPr>
        <w:t>r</w:t>
      </w:r>
      <w:r w:rsidRPr="00045129">
        <w:rPr>
          <w:lang w:val="en-US"/>
        </w:rPr>
        <w:t>mance at L1 and L2, a UE may use part of the full source/destination ID as the corresponding L1 ID and use the rest as the corresponding L2 ID</w:t>
      </w:r>
      <w:r w:rsidR="001F6AFD">
        <w:rPr>
          <w:lang w:val="en-US"/>
        </w:rPr>
        <w:t xml:space="preserve"> as already agreed by RAN2. </w:t>
      </w:r>
      <w:r w:rsidRPr="00045129">
        <w:rPr>
          <w:lang w:val="en-US"/>
        </w:rPr>
        <w:t xml:space="preserve"> </w:t>
      </w:r>
    </w:p>
    <w:p w14:paraId="67489080" w14:textId="0FB7EF98" w:rsidR="006F5C60" w:rsidRPr="00045129" w:rsidRDefault="006F5C60" w:rsidP="006F5C60">
      <w:pPr>
        <w:pStyle w:val="Proposal"/>
        <w:overflowPunct/>
        <w:autoSpaceDE/>
        <w:autoSpaceDN/>
        <w:adjustRightInd/>
        <w:spacing w:after="160" w:line="259" w:lineRule="auto"/>
        <w:textAlignment w:val="auto"/>
        <w:rPr>
          <w:lang w:val="en-US"/>
        </w:rPr>
      </w:pPr>
      <w:bookmarkStart w:id="5" w:name="_Toc7524159"/>
      <w:bookmarkStart w:id="6" w:name="_Toc7283948"/>
      <w:bookmarkStart w:id="7" w:name="_Toc7782236"/>
      <w:bookmarkStart w:id="8" w:name="_Toc16871127"/>
      <w:bookmarkEnd w:id="5"/>
      <w:r w:rsidRPr="00045129">
        <w:rPr>
          <w:lang w:val="en-US"/>
        </w:rPr>
        <w:t xml:space="preserve">With a given full source/destination ID, </w:t>
      </w:r>
      <w:r w:rsidR="000A31AD">
        <w:rPr>
          <w:lang w:val="en-US"/>
        </w:rPr>
        <w:t xml:space="preserve">only portion of </w:t>
      </w:r>
      <w:r w:rsidRPr="00045129">
        <w:rPr>
          <w:lang w:val="en-US"/>
        </w:rPr>
        <w:t xml:space="preserve">L1 source/destination ID </w:t>
      </w:r>
      <w:r w:rsidR="000A31AD">
        <w:rPr>
          <w:lang w:val="en-US"/>
        </w:rPr>
        <w:t xml:space="preserve">is conveyed in </w:t>
      </w:r>
      <w:r w:rsidRPr="00045129">
        <w:rPr>
          <w:lang w:val="en-US"/>
        </w:rPr>
        <w:t xml:space="preserve">SCI, </w:t>
      </w:r>
      <w:r w:rsidR="000A31AD">
        <w:rPr>
          <w:lang w:val="en-US"/>
        </w:rPr>
        <w:t>whereas</w:t>
      </w:r>
      <w:r w:rsidR="005142D5">
        <w:rPr>
          <w:lang w:val="en-US"/>
        </w:rPr>
        <w:t xml:space="preserve"> </w:t>
      </w:r>
      <w:r w:rsidRPr="00045129">
        <w:rPr>
          <w:lang w:val="en-US"/>
        </w:rPr>
        <w:t>the rest</w:t>
      </w:r>
      <w:r w:rsidR="005142D5">
        <w:rPr>
          <w:lang w:val="en-US"/>
        </w:rPr>
        <w:t xml:space="preserve"> of the</w:t>
      </w:r>
      <w:r w:rsidRPr="00045129">
        <w:rPr>
          <w:lang w:val="en-US"/>
        </w:rPr>
        <w:t xml:space="preserve"> portion is conveyed in MAC sub</w:t>
      </w:r>
      <w:r w:rsidR="0066012B">
        <w:rPr>
          <w:lang w:val="en-US"/>
        </w:rPr>
        <w:t>-</w:t>
      </w:r>
      <w:r w:rsidRPr="00045129">
        <w:rPr>
          <w:lang w:val="en-US"/>
        </w:rPr>
        <w:t>header as L2 source/destination ID.</w:t>
      </w:r>
      <w:bookmarkEnd w:id="6"/>
      <w:bookmarkEnd w:id="7"/>
      <w:r w:rsidRPr="00045129">
        <w:rPr>
          <w:lang w:val="en-US"/>
        </w:rPr>
        <w:t xml:space="preserve"> </w:t>
      </w:r>
      <w:r w:rsidR="00A372C7">
        <w:rPr>
          <w:lang w:val="en-US"/>
        </w:rPr>
        <w:t>For example,</w:t>
      </w:r>
      <w:r w:rsidR="0044380F">
        <w:rPr>
          <w:lang w:val="en-US"/>
        </w:rPr>
        <w:t xml:space="preserve"> SCI carrier</w:t>
      </w:r>
      <w:r w:rsidR="00A372C7">
        <w:rPr>
          <w:lang w:val="en-US"/>
        </w:rPr>
        <w:t xml:space="preserve"> 16 bits </w:t>
      </w:r>
      <w:r w:rsidR="007C6571">
        <w:rPr>
          <w:lang w:val="en-US"/>
        </w:rPr>
        <w:t>of destination ID and 8 bits of source ID.</w:t>
      </w:r>
      <w:bookmarkEnd w:id="8"/>
      <w:r w:rsidR="007C6571">
        <w:rPr>
          <w:lang w:val="en-US"/>
        </w:rPr>
        <w:t xml:space="preserve"> </w:t>
      </w:r>
      <w:r w:rsidRPr="00045129">
        <w:rPr>
          <w:lang w:val="en-US"/>
        </w:rPr>
        <w:t xml:space="preserve"> </w:t>
      </w:r>
    </w:p>
    <w:p w14:paraId="32669B4F" w14:textId="77777777" w:rsidR="00110EDD" w:rsidRDefault="00C62195" w:rsidP="007956FB">
      <w:pPr>
        <w:jc w:val="both"/>
      </w:pPr>
      <w:r>
        <w:lastRenderedPageBreak/>
        <w:t>Moreover,</w:t>
      </w:r>
      <w:r w:rsidRPr="00C62195">
        <w:t xml:space="preserve"> </w:t>
      </w:r>
      <w:r>
        <w:t xml:space="preserve">in previous meetings, in case of partial use of full destination/source IDs at L1, the collision problem was discussed. In our view, there is a very low probability of such cases where </w:t>
      </w:r>
      <w:r w:rsidR="00E879E3">
        <w:t>two different unicast/groupcast sessions</w:t>
      </w:r>
      <w:r w:rsidR="006B716C">
        <w:t xml:space="preserve"> </w:t>
      </w:r>
      <w:r w:rsidR="00E879E3">
        <w:t>have exactly same L1 destination and</w:t>
      </w:r>
      <w:r w:rsidR="00147ABF">
        <w:t>/or</w:t>
      </w:r>
      <w:r w:rsidR="00E879E3">
        <w:t xml:space="preserve"> source IDs</w:t>
      </w:r>
      <w:r w:rsidR="007D13D0">
        <w:t>, derived from L2 destination and source IDs, respectively</w:t>
      </w:r>
      <w:r w:rsidR="00B223C2">
        <w:t xml:space="preserve">. Therefore, such </w:t>
      </w:r>
      <w:r w:rsidR="007D13D0">
        <w:t>optimization in specification is not necessary</w:t>
      </w:r>
      <w:r w:rsidR="00E36BFA">
        <w:t xml:space="preserve">. Furthermore, SA2 has agreed that a UE can change its L2 IDs </w:t>
      </w:r>
      <w:r w:rsidR="00110EDD">
        <w:t xml:space="preserve">for privacy reason, and any change of IDs (if </w:t>
      </w:r>
      <w:proofErr w:type="gramStart"/>
      <w:r w:rsidR="00110EDD">
        <w:t>necessary</w:t>
      </w:r>
      <w:proofErr w:type="gramEnd"/>
      <w:r w:rsidR="00110EDD">
        <w:t xml:space="preserve"> for the case of collision) can be up to UE implementation. </w:t>
      </w:r>
    </w:p>
    <w:p w14:paraId="1B748573" w14:textId="6C735D43" w:rsidR="00C62195" w:rsidRDefault="0094380F" w:rsidP="0094380F">
      <w:pPr>
        <w:pStyle w:val="Proposal"/>
      </w:pPr>
      <w:bookmarkStart w:id="9" w:name="_Toc16871128"/>
      <w:r>
        <w:t xml:space="preserve">Resolution of Layer 1 IDs’ collision is left up to UE implementation and no procedure is defined in </w:t>
      </w:r>
      <w:r w:rsidR="0008627F">
        <w:t xml:space="preserve">RAN1 </w:t>
      </w:r>
      <w:r>
        <w:t>specification.</w:t>
      </w:r>
      <w:bookmarkEnd w:id="9"/>
      <w:r>
        <w:t xml:space="preserve"> </w:t>
      </w:r>
      <w:r w:rsidR="00C62195">
        <w:t xml:space="preserve"> </w:t>
      </w:r>
    </w:p>
    <w:p w14:paraId="6BA4BBF4" w14:textId="3EF305BE" w:rsidR="00565F01" w:rsidRDefault="00565F01" w:rsidP="00565F01">
      <w:pPr>
        <w:pStyle w:val="Heading1"/>
      </w:pPr>
      <w:r>
        <w:t>3</w:t>
      </w:r>
      <w:r>
        <w:tab/>
        <w:t xml:space="preserve">Sidelink HARQ </w:t>
      </w:r>
      <w:r w:rsidR="001D789B">
        <w:t>procedures</w:t>
      </w:r>
    </w:p>
    <w:p w14:paraId="6D707EF3" w14:textId="04A1A268" w:rsidR="008C2466" w:rsidRPr="0062150D" w:rsidRDefault="008C2466" w:rsidP="008C2466">
      <w:pPr>
        <w:spacing w:before="240"/>
        <w:rPr>
          <w:rFonts w:eastAsia="Arial" w:cs="Arial"/>
        </w:rPr>
      </w:pPr>
      <w:r w:rsidRPr="0062150D">
        <w:rPr>
          <w:rFonts w:eastAsia="Arial" w:cs="Arial"/>
        </w:rPr>
        <w:t>In this section, we continue our discussions on SL HARQ</w:t>
      </w:r>
      <w:r w:rsidR="00EB020B">
        <w:rPr>
          <w:rFonts w:eastAsia="Arial" w:cs="Arial"/>
        </w:rPr>
        <w:t xml:space="preserve"> </w:t>
      </w:r>
      <w:r w:rsidR="00E343B3">
        <w:rPr>
          <w:rFonts w:eastAsia="Arial" w:cs="Arial"/>
        </w:rPr>
        <w:t>regarding the FFS aspects</w:t>
      </w:r>
      <w:r w:rsidRPr="0062150D">
        <w:rPr>
          <w:rFonts w:eastAsia="Arial" w:cs="Arial"/>
        </w:rPr>
        <w:t>.</w:t>
      </w:r>
    </w:p>
    <w:p w14:paraId="57DFD3EA" w14:textId="071DBAF3" w:rsidR="008A4213" w:rsidRPr="00321FA0" w:rsidRDefault="00941F34" w:rsidP="00321FA0">
      <w:pPr>
        <w:rPr>
          <w:rFonts w:eastAsia="Arial"/>
        </w:rPr>
      </w:pPr>
      <w:r w:rsidRPr="0062150D">
        <w:rPr>
          <w:rFonts w:eastAsia="Arial" w:cs="Arial"/>
        </w:rPr>
        <w:t>When it comes to enabling/disabling HARQ feedback,</w:t>
      </w:r>
      <w:r w:rsidR="008A4213" w:rsidRPr="008A4213">
        <w:rPr>
          <w:rFonts w:eastAsia="Arial"/>
        </w:rPr>
        <w:t xml:space="preserve"> </w:t>
      </w:r>
      <w:r w:rsidR="008A4213" w:rsidRPr="0027727D">
        <w:rPr>
          <w:rFonts w:eastAsia="Arial"/>
        </w:rPr>
        <w:t>it was agreed to enable or disable HARQ feedback based on (pre-)configuration. Furthermore, we believe that the HARQ enabling/disabling should also take congestion control and V2X service requirements in</w:t>
      </w:r>
      <w:r w:rsidR="008A4213">
        <w:rPr>
          <w:rFonts w:eastAsia="Arial"/>
        </w:rPr>
        <w:t>to</w:t>
      </w:r>
      <w:r w:rsidR="008A4213" w:rsidRPr="0027727D">
        <w:rPr>
          <w:rFonts w:eastAsia="Arial"/>
        </w:rPr>
        <w:t xml:space="preserve"> </w:t>
      </w:r>
      <w:proofErr w:type="gramStart"/>
      <w:r w:rsidR="008A4213" w:rsidRPr="0027727D">
        <w:rPr>
          <w:rFonts w:eastAsia="Arial"/>
        </w:rPr>
        <w:t>account</w:t>
      </w:r>
      <w:r w:rsidR="00321FA0">
        <w:rPr>
          <w:rFonts w:eastAsia="Arial"/>
        </w:rPr>
        <w:t>,</w:t>
      </w:r>
      <w:r w:rsidR="008A33C6">
        <w:rPr>
          <w:rFonts w:eastAsia="Arial"/>
        </w:rPr>
        <w:t xml:space="preserve"> </w:t>
      </w:r>
      <w:r w:rsidR="00321FA0">
        <w:rPr>
          <w:rFonts w:eastAsia="Arial"/>
        </w:rPr>
        <w:t>and</w:t>
      </w:r>
      <w:proofErr w:type="gramEnd"/>
      <w:r w:rsidR="00321FA0">
        <w:rPr>
          <w:rFonts w:eastAsia="Arial"/>
        </w:rPr>
        <w:t xml:space="preserve"> should be part of general QoS framework.</w:t>
      </w:r>
    </w:p>
    <w:p w14:paraId="3105E445" w14:textId="39163F4F" w:rsidR="008A4213" w:rsidRPr="00FA2F86" w:rsidRDefault="00BE1C5C" w:rsidP="008A4213">
      <w:pPr>
        <w:pStyle w:val="Proposal"/>
        <w:overflowPunct/>
        <w:autoSpaceDE/>
        <w:autoSpaceDN/>
        <w:adjustRightInd/>
        <w:spacing w:line="259" w:lineRule="auto"/>
        <w:jc w:val="left"/>
        <w:textAlignment w:val="auto"/>
      </w:pPr>
      <w:bookmarkStart w:id="10" w:name="_Toc14105322"/>
      <w:bookmarkStart w:id="11" w:name="_Toc14106407"/>
      <w:bookmarkStart w:id="12" w:name="_Toc5119263"/>
      <w:bookmarkStart w:id="13" w:name="_Toc7391380"/>
      <w:bookmarkStart w:id="14" w:name="_Toc7684121"/>
      <w:bookmarkStart w:id="15" w:name="_Toc7728949"/>
      <w:bookmarkStart w:id="16" w:name="_Toc16871129"/>
      <w:r>
        <w:t>Study</w:t>
      </w:r>
      <w:r w:rsidR="008A33C6">
        <w:t xml:space="preserve"> </w:t>
      </w:r>
      <w:r w:rsidR="001E4D53">
        <w:t xml:space="preserve">enabling/disabling of HARQ feedback as a </w:t>
      </w:r>
      <w:r w:rsidR="00DC6586">
        <w:t xml:space="preserve">part </w:t>
      </w:r>
      <w:r>
        <w:t>of QoS framework</w:t>
      </w:r>
      <w:r w:rsidR="008A4213">
        <w:rPr>
          <w:rFonts w:eastAsia="Arial" w:cs="Arial"/>
        </w:rPr>
        <w:t>.</w:t>
      </w:r>
      <w:bookmarkEnd w:id="10"/>
      <w:bookmarkEnd w:id="11"/>
      <w:r w:rsidR="00027E43">
        <w:rPr>
          <w:rFonts w:eastAsia="Arial" w:cs="Arial"/>
        </w:rPr>
        <w:t xml:space="preserve"> Details up to RAN2.</w:t>
      </w:r>
      <w:bookmarkEnd w:id="16"/>
      <w:r w:rsidR="00027E43">
        <w:rPr>
          <w:rFonts w:eastAsia="Arial" w:cs="Arial"/>
        </w:rPr>
        <w:t xml:space="preserve"> </w:t>
      </w:r>
    </w:p>
    <w:bookmarkEnd w:id="12"/>
    <w:bookmarkEnd w:id="13"/>
    <w:bookmarkEnd w:id="14"/>
    <w:bookmarkEnd w:id="15"/>
    <w:p w14:paraId="47048BEF" w14:textId="55AB07E7" w:rsidR="003F55CB" w:rsidRPr="0062150D" w:rsidRDefault="003F55CB" w:rsidP="003F55CB">
      <w:pPr>
        <w:jc w:val="both"/>
        <w:rPr>
          <w:rFonts w:eastAsia="Arial" w:cs="Arial"/>
        </w:rPr>
      </w:pPr>
      <w:r w:rsidRPr="0062150D">
        <w:rPr>
          <w:rFonts w:eastAsia="Arial" w:cs="Arial"/>
        </w:rPr>
        <w:t>Furthermore, an indication to receiver UE needs to be included in SCI if HARQ feedback is requested or not. For instance, a flag indicating the need of HARQ feedback if turned on.</w:t>
      </w:r>
      <w:bookmarkStart w:id="17" w:name="_Toc5119264"/>
      <w:r w:rsidR="004E5D68" w:rsidRPr="009E2D87">
        <w:t xml:space="preserve"> </w:t>
      </w:r>
    </w:p>
    <w:p w14:paraId="14792C70" w14:textId="719D4E33" w:rsidR="003F55CB" w:rsidRPr="00FA7BBA" w:rsidRDefault="003F55CB" w:rsidP="00FA7BBA">
      <w:pPr>
        <w:pStyle w:val="Proposal"/>
        <w:overflowPunct/>
        <w:autoSpaceDE/>
        <w:autoSpaceDN/>
        <w:adjustRightInd/>
        <w:spacing w:line="259" w:lineRule="auto"/>
        <w:jc w:val="left"/>
        <w:textAlignment w:val="auto"/>
      </w:pPr>
      <w:bookmarkStart w:id="18" w:name="_Toc7704268"/>
      <w:bookmarkStart w:id="19" w:name="_Toc7810440"/>
      <w:bookmarkStart w:id="20" w:name="_Toc16871130"/>
      <w:r w:rsidRPr="00FA7BBA">
        <w:t>S</w:t>
      </w:r>
      <w:r w:rsidRPr="0062150D">
        <w:t xml:space="preserve">CI carries a field indicating the presence of </w:t>
      </w:r>
      <w:r w:rsidR="005D0482">
        <w:t xml:space="preserve">the </w:t>
      </w:r>
      <w:r w:rsidRPr="0062150D">
        <w:t>corresponding HARQ feedback i.e. ACK</w:t>
      </w:r>
      <w:r w:rsidR="005D0482">
        <w:t xml:space="preserve"> or </w:t>
      </w:r>
      <w:r w:rsidRPr="0062150D">
        <w:t>NACK</w:t>
      </w:r>
      <w:r w:rsidR="005D0482">
        <w:t xml:space="preserve"> based on PSSCH decoding outcome</w:t>
      </w:r>
      <w:r w:rsidRPr="0062150D">
        <w:t>.</w:t>
      </w:r>
      <w:bookmarkEnd w:id="20"/>
      <w:r w:rsidRPr="0062150D">
        <w:t xml:space="preserve"> </w:t>
      </w:r>
      <w:bookmarkEnd w:id="17"/>
      <w:bookmarkEnd w:id="18"/>
      <w:bookmarkEnd w:id="19"/>
    </w:p>
    <w:p w14:paraId="0E6C57C9" w14:textId="1185C3AD" w:rsidR="008C2466" w:rsidRDefault="006202E1" w:rsidP="00F92051">
      <w:pPr>
        <w:jc w:val="both"/>
        <w:rPr>
          <w:rFonts w:eastAsia="Arial" w:cs="Arial"/>
          <w:lang w:val="en-US"/>
        </w:rPr>
      </w:pPr>
      <w:r w:rsidRPr="00FC774D">
        <w:rPr>
          <w:rFonts w:eastAsia="Times New Roman"/>
          <w:lang w:val="en-US"/>
        </w:rPr>
        <w:t xml:space="preserve">In </w:t>
      </w:r>
      <w:r w:rsidR="00FC774D" w:rsidRPr="0062150D">
        <w:rPr>
          <w:rFonts w:eastAsia="Arial" w:cs="Arial"/>
        </w:rPr>
        <w:t>RAN1#9</w:t>
      </w:r>
      <w:r w:rsidR="00FC774D">
        <w:rPr>
          <w:rFonts w:eastAsia="Arial" w:cs="Arial"/>
        </w:rPr>
        <w:t xml:space="preserve">7, </w:t>
      </w:r>
      <w:r w:rsidR="000C4709">
        <w:rPr>
          <w:rFonts w:eastAsia="Arial" w:cs="Arial"/>
        </w:rPr>
        <w:t xml:space="preserve">it has been agreed that </w:t>
      </w:r>
      <w:r w:rsidR="000C4709" w:rsidRPr="007F78FF">
        <w:rPr>
          <w:rFonts w:eastAsia="Arial" w:cs="Arial"/>
          <w:lang w:val="en-US"/>
        </w:rPr>
        <w:t>TX-RX distance-based HARQ feedback</w:t>
      </w:r>
      <w:r w:rsidR="000C4709">
        <w:rPr>
          <w:rFonts w:eastAsia="Arial" w:cs="Arial"/>
          <w:lang w:val="en-US"/>
        </w:rPr>
        <w:t xml:space="preserve"> is supported for at least groupcast option 1, where </w:t>
      </w:r>
      <w:r w:rsidR="006B4640">
        <w:rPr>
          <w:rFonts w:eastAsia="Arial" w:cs="Arial"/>
          <w:lang w:val="en-US"/>
        </w:rPr>
        <w:t>a</w:t>
      </w:r>
      <w:r w:rsidR="006B4640" w:rsidRPr="007F78FF">
        <w:rPr>
          <w:rFonts w:eastAsia="Arial" w:cs="Arial"/>
          <w:lang w:val="en-US"/>
        </w:rPr>
        <w:t xml:space="preserve"> UE </w:t>
      </w:r>
      <w:r w:rsidR="006B4640">
        <w:rPr>
          <w:rFonts w:eastAsia="Arial" w:cs="Arial"/>
          <w:lang w:val="en-US"/>
        </w:rPr>
        <w:t xml:space="preserve">only </w:t>
      </w:r>
      <w:r w:rsidR="006B4640" w:rsidRPr="007F78FF">
        <w:rPr>
          <w:rFonts w:eastAsia="Arial" w:cs="Arial"/>
          <w:lang w:val="en-US"/>
        </w:rPr>
        <w:t>transmits HARQ feedback if TX-RX distance is smaller or equal to the communication range requirement</w:t>
      </w:r>
      <w:r w:rsidR="00C143D0">
        <w:rPr>
          <w:rFonts w:eastAsia="Arial" w:cs="Arial"/>
          <w:lang w:val="en-US"/>
        </w:rPr>
        <w:t>.</w:t>
      </w:r>
      <w:r w:rsidR="00823B6B">
        <w:rPr>
          <w:rFonts w:eastAsia="Arial" w:cs="Arial"/>
          <w:lang w:val="en-US"/>
        </w:rPr>
        <w:t xml:space="preserve"> </w:t>
      </w:r>
      <w:r w:rsidR="00F92051">
        <w:rPr>
          <w:lang w:val="en-US"/>
        </w:rPr>
        <w:t>Also</w:t>
      </w:r>
      <w:r w:rsidR="002C52D8">
        <w:t xml:space="preserve">, </w:t>
      </w:r>
      <w:r w:rsidR="00D1144C">
        <w:t xml:space="preserve">to support </w:t>
      </w:r>
      <w:r w:rsidR="00F92051">
        <w:rPr>
          <w:rFonts w:eastAsia="Arial" w:cs="Arial"/>
          <w:lang w:val="en-US"/>
        </w:rPr>
        <w:t>this functionality</w:t>
      </w:r>
      <w:r w:rsidR="00985D59">
        <w:rPr>
          <w:rFonts w:eastAsia="Arial" w:cs="Arial"/>
          <w:lang w:val="en-US"/>
        </w:rPr>
        <w:t xml:space="preserve">, </w:t>
      </w:r>
      <w:r w:rsidR="00BC16BF">
        <w:rPr>
          <w:rFonts w:eastAsia="Arial" w:cs="Arial"/>
          <w:lang w:val="en-US"/>
        </w:rPr>
        <w:t xml:space="preserve">the TX-RX distance </w:t>
      </w:r>
      <w:r w:rsidR="00F92051">
        <w:rPr>
          <w:rFonts w:eastAsia="Arial" w:cs="Arial"/>
          <w:lang w:val="en-US"/>
        </w:rPr>
        <w:t>is</w:t>
      </w:r>
      <w:r w:rsidR="006E570F">
        <w:rPr>
          <w:rFonts w:eastAsia="Arial" w:cs="Arial"/>
          <w:lang w:val="en-US"/>
        </w:rPr>
        <w:t xml:space="preserve"> estimated by RX UE based on its own location and TX UE</w:t>
      </w:r>
      <w:r w:rsidR="006C12DF">
        <w:rPr>
          <w:rFonts w:eastAsia="Arial" w:cs="Arial"/>
          <w:lang w:val="en-US"/>
        </w:rPr>
        <w:t>’s</w:t>
      </w:r>
      <w:r w:rsidR="006E570F">
        <w:rPr>
          <w:rFonts w:eastAsia="Arial" w:cs="Arial"/>
          <w:lang w:val="en-US"/>
        </w:rPr>
        <w:t xml:space="preserve"> location. </w:t>
      </w:r>
      <w:r w:rsidR="00F92051">
        <w:rPr>
          <w:rFonts w:eastAsia="Arial" w:cs="Arial"/>
          <w:lang w:val="en-US"/>
        </w:rPr>
        <w:t>Then, the next question</w:t>
      </w:r>
      <w:r w:rsidR="00F67913">
        <w:rPr>
          <w:rFonts w:eastAsia="Arial" w:cs="Arial"/>
          <w:lang w:val="en-US"/>
        </w:rPr>
        <w:t>s</w:t>
      </w:r>
      <w:r w:rsidR="00F92051">
        <w:rPr>
          <w:rFonts w:eastAsia="Arial" w:cs="Arial"/>
          <w:lang w:val="en-US"/>
        </w:rPr>
        <w:t xml:space="preserve"> </w:t>
      </w:r>
      <w:r w:rsidR="00F67913">
        <w:rPr>
          <w:rFonts w:eastAsia="Arial" w:cs="Arial"/>
          <w:lang w:val="en-US"/>
        </w:rPr>
        <w:t>are</w:t>
      </w:r>
      <w:r w:rsidR="00390CCA">
        <w:rPr>
          <w:rFonts w:eastAsia="Arial" w:cs="Arial"/>
          <w:lang w:val="en-US"/>
        </w:rPr>
        <w:t xml:space="preserve"> how to define</w:t>
      </w:r>
      <w:r w:rsidR="00F67913">
        <w:rPr>
          <w:rFonts w:eastAsia="Arial" w:cs="Arial"/>
          <w:lang w:val="en-US"/>
        </w:rPr>
        <w:t xml:space="preserve"> location and how to notify R</w:t>
      </w:r>
      <w:r w:rsidR="005B5C17">
        <w:rPr>
          <w:rFonts w:eastAsia="Arial" w:cs="Arial"/>
          <w:lang w:val="en-US"/>
        </w:rPr>
        <w:t>X</w:t>
      </w:r>
      <w:r w:rsidR="00F67913">
        <w:rPr>
          <w:rFonts w:eastAsia="Arial" w:cs="Arial"/>
          <w:lang w:val="en-US"/>
        </w:rPr>
        <w:t xml:space="preserve"> UE</w:t>
      </w:r>
      <w:r w:rsidR="005B5C17">
        <w:rPr>
          <w:rFonts w:eastAsia="Arial" w:cs="Arial"/>
          <w:lang w:val="en-US"/>
        </w:rPr>
        <w:t xml:space="preserve"> about TX UE’s location. </w:t>
      </w:r>
    </w:p>
    <w:p w14:paraId="2C158A62" w14:textId="526614A2" w:rsidR="001D5265" w:rsidRDefault="005F6179" w:rsidP="00F92051">
      <w:pPr>
        <w:jc w:val="both"/>
      </w:pPr>
      <w:r>
        <w:t xml:space="preserve">First, we think </w:t>
      </w:r>
      <w:r w:rsidR="005B19AC">
        <w:t xml:space="preserve">geographical coordinate is a good way to define location since </w:t>
      </w:r>
      <w:r w:rsidR="00D276F6">
        <w:t xml:space="preserve">1) it can represent location information more accurately; 2) </w:t>
      </w:r>
      <w:r w:rsidR="00561239">
        <w:t xml:space="preserve">it can be used for both </w:t>
      </w:r>
      <w:r w:rsidR="00875FDC">
        <w:t xml:space="preserve">NW’s </w:t>
      </w:r>
      <w:r w:rsidR="00561239">
        <w:t xml:space="preserve">in-coverage and out-of-coverage scenarios. </w:t>
      </w:r>
      <w:r w:rsidR="00817A8B">
        <w:t xml:space="preserve">However, </w:t>
      </w:r>
      <w:r w:rsidR="00E445F5">
        <w:t xml:space="preserve">a full GPS coordinate </w:t>
      </w:r>
      <w:r w:rsidR="00C303D8">
        <w:t xml:space="preserve">usually has </w:t>
      </w:r>
      <w:r w:rsidR="00D321D0">
        <w:t xml:space="preserve">a </w:t>
      </w:r>
      <w:r w:rsidR="00C303D8">
        <w:t>size</w:t>
      </w:r>
      <w:r w:rsidR="00D321D0">
        <w:t xml:space="preserve"> of a few tens of bits, </w:t>
      </w:r>
      <w:r w:rsidR="00B06A3C">
        <w:t>which</w:t>
      </w:r>
      <w:r w:rsidR="00B636A4">
        <w:t xml:space="preserve"> may be too large overhead if carried in SCI</w:t>
      </w:r>
      <w:r w:rsidR="00332C94">
        <w:t>.</w:t>
      </w:r>
      <w:r w:rsidR="007D7FE4">
        <w:t xml:space="preserve"> Hence, </w:t>
      </w:r>
      <w:r w:rsidR="00E374EF">
        <w:t xml:space="preserve">in our view PC5-RRC message should be used to </w:t>
      </w:r>
      <w:r w:rsidR="00A9104C">
        <w:t>convey a geographical coordinate</w:t>
      </w:r>
      <w:r w:rsidR="00B236DA">
        <w:t xml:space="preserve"> with a relatively large size</w:t>
      </w:r>
      <w:r w:rsidR="00A9104C">
        <w:t>. On the other hand,</w:t>
      </w:r>
      <w:r w:rsidR="00A32CAA">
        <w:t xml:space="preserve"> since the </w:t>
      </w:r>
      <w:r w:rsidR="00076643">
        <w:t>transmission of</w:t>
      </w:r>
      <w:r w:rsidR="00A32CAA">
        <w:t xml:space="preserve"> PC5-RRC message</w:t>
      </w:r>
      <w:r w:rsidR="00076643">
        <w:t>s</w:t>
      </w:r>
      <w:r w:rsidR="00A32CAA">
        <w:t xml:space="preserve"> can be</w:t>
      </w:r>
      <w:r w:rsidR="000C3A5A">
        <w:t xml:space="preserve"> </w:t>
      </w:r>
      <w:r w:rsidR="000E7742">
        <w:t xml:space="preserve">quite </w:t>
      </w:r>
      <w:r w:rsidR="000C3A5A">
        <w:t>infrequently, re</w:t>
      </w:r>
      <w:r w:rsidR="004C7F75">
        <w:t xml:space="preserve">lying on PC5-RRC </w:t>
      </w:r>
      <w:r w:rsidR="00F86704">
        <w:t xml:space="preserve">only </w:t>
      </w:r>
      <w:r w:rsidR="004C7F75">
        <w:t xml:space="preserve">may </w:t>
      </w:r>
      <w:r w:rsidR="00F86704">
        <w:t>not</w:t>
      </w:r>
      <w:r w:rsidR="004C7F75">
        <w:t xml:space="preserve"> give</w:t>
      </w:r>
      <w:r w:rsidR="00F86704">
        <w:t xml:space="preserve"> enough updated location information</w:t>
      </w:r>
      <w:r w:rsidR="00C1373F">
        <w:t xml:space="preserve">. Therefore, we think it </w:t>
      </w:r>
      <w:r w:rsidR="00114219">
        <w:t>is</w:t>
      </w:r>
      <w:r w:rsidR="00C1373F">
        <w:t xml:space="preserve"> beneficial to combine PC5-RRC with</w:t>
      </w:r>
      <w:r w:rsidR="00565D94">
        <w:t xml:space="preserve"> </w:t>
      </w:r>
      <w:r w:rsidR="005F7910">
        <w:t>lower layer information carried in SC</w:t>
      </w:r>
      <w:r w:rsidR="00565D94">
        <w:t>I, where SCI</w:t>
      </w:r>
      <w:r w:rsidR="002F65D4">
        <w:t xml:space="preserve"> </w:t>
      </w:r>
      <w:r w:rsidR="00114219">
        <w:t>can contain</w:t>
      </w:r>
      <w:r w:rsidR="002F65D4">
        <w:t xml:space="preserve"> a </w:t>
      </w:r>
      <w:r w:rsidR="00D11444">
        <w:t xml:space="preserve">relative movement compared to the </w:t>
      </w:r>
      <w:r w:rsidR="00064CF2">
        <w:t>location sent in the latest PC5-RRC</w:t>
      </w:r>
      <w:r w:rsidR="00FA4ACE">
        <w:t xml:space="preserve"> message</w:t>
      </w:r>
      <w:r w:rsidR="00064CF2">
        <w:t>.</w:t>
      </w:r>
      <w:r w:rsidR="00FA4ACE">
        <w:t xml:space="preserve"> Moreover, </w:t>
      </w:r>
      <w:r w:rsidR="00D7337F">
        <w:t>each</w:t>
      </w:r>
      <w:r w:rsidR="00E014EA">
        <w:t xml:space="preserve"> UE should store a mapping between other UE’s L1</w:t>
      </w:r>
      <w:r w:rsidR="00186FA7">
        <w:t xml:space="preserve"> source</w:t>
      </w:r>
      <w:r w:rsidR="00E014EA">
        <w:t xml:space="preserve"> IDs and</w:t>
      </w:r>
      <w:r w:rsidR="004C7F75">
        <w:t xml:space="preserve"> </w:t>
      </w:r>
      <w:r w:rsidR="00E014EA">
        <w:t>their respective locations.</w:t>
      </w:r>
      <w:r w:rsidR="00442DD3">
        <w:t xml:space="preserve"> In this way,</w:t>
      </w:r>
      <w:r w:rsidR="00186FA7">
        <w:t xml:space="preserve"> after decoding SCI which contains TX UE’s L1 source ID</w:t>
      </w:r>
      <w:r w:rsidR="002D72D4">
        <w:t>, the RX</w:t>
      </w:r>
      <w:r w:rsidR="002642D0">
        <w:t xml:space="preserve"> UE will know </w:t>
      </w:r>
      <w:r w:rsidR="007A1C68">
        <w:t>how to correctly connect the previously stored location information to the TX UE</w:t>
      </w:r>
      <w:r w:rsidR="00FE6FB1">
        <w:t xml:space="preserve"> and then calculate TX-RX distance.</w:t>
      </w:r>
    </w:p>
    <w:p w14:paraId="6266C9FB" w14:textId="73E46F50" w:rsidR="00FE5A03" w:rsidRPr="00480F6B" w:rsidRDefault="006B3803" w:rsidP="00480F6B">
      <w:pPr>
        <w:pStyle w:val="Proposal"/>
        <w:tabs>
          <w:tab w:val="num" w:pos="2438"/>
        </w:tabs>
        <w:overflowPunct/>
        <w:autoSpaceDE/>
        <w:autoSpaceDN/>
        <w:adjustRightInd/>
        <w:spacing w:line="259" w:lineRule="auto"/>
        <w:textAlignment w:val="auto"/>
      </w:pPr>
      <w:bookmarkStart w:id="21" w:name="_Toc16871131"/>
      <w:r>
        <w:t xml:space="preserve">Geographical coordinate is used to represent location information. </w:t>
      </w:r>
      <w:r w:rsidR="00F53BB3">
        <w:t xml:space="preserve">TX UE’s </w:t>
      </w:r>
      <w:r>
        <w:t xml:space="preserve">location </w:t>
      </w:r>
      <w:r w:rsidR="00272D27">
        <w:t>can be</w:t>
      </w:r>
      <w:r>
        <w:t xml:space="preserve"> sent jointly via </w:t>
      </w:r>
      <w:r w:rsidR="00DC4B9B">
        <w:t>PC5-RRC and SCI</w:t>
      </w:r>
      <w:r w:rsidR="00FE5A03" w:rsidRPr="0062150D">
        <w:t>.</w:t>
      </w:r>
      <w:r w:rsidR="00DC4B9B">
        <w:t xml:space="preserve"> </w:t>
      </w:r>
      <w:r w:rsidR="003C284D">
        <w:t xml:space="preserve">A RX UE stores </w:t>
      </w:r>
      <w:r w:rsidR="007A26B4">
        <w:t xml:space="preserve">a mapping between </w:t>
      </w:r>
      <w:r w:rsidR="00272D27">
        <w:t>Tx UEs’ L1 source IDs and their respective locations.</w:t>
      </w:r>
      <w:bookmarkEnd w:id="21"/>
    </w:p>
    <w:p w14:paraId="5BBD6E5E" w14:textId="3BBF84DC" w:rsidR="00087DF3" w:rsidRPr="00BA7141" w:rsidRDefault="00D07C4B" w:rsidP="00C26E20">
      <w:pPr>
        <w:jc w:val="both"/>
        <w:rPr>
          <w:rFonts w:eastAsia="Arial" w:cs="Arial"/>
          <w:lang w:val="en-US"/>
        </w:rPr>
      </w:pPr>
      <w:r>
        <w:t xml:space="preserve">Although sending </w:t>
      </w:r>
      <w:r w:rsidR="008835DF">
        <w:t xml:space="preserve">TX UE’s location jointly via PC5-RRC and SCI can reduce </w:t>
      </w:r>
      <w:r w:rsidR="00096EAD">
        <w:t xml:space="preserve">the overhead, it may </w:t>
      </w:r>
      <w:r w:rsidR="00C26E20">
        <w:t xml:space="preserve">still be a burden for some scenarios. To resolve this issue, </w:t>
      </w:r>
      <w:r w:rsidR="004879DE">
        <w:t>i</w:t>
      </w:r>
      <w:r w:rsidR="00C26E20">
        <w:t xml:space="preserve">n </w:t>
      </w:r>
      <w:r w:rsidR="00087DF3" w:rsidRPr="0062150D">
        <w:rPr>
          <w:rFonts w:eastAsia="Arial" w:cs="Arial"/>
        </w:rPr>
        <w:t xml:space="preserve">our view, both RSRP based and distance based HARQ feedback </w:t>
      </w:r>
      <w:r w:rsidR="006810A2">
        <w:rPr>
          <w:rFonts w:eastAsia="Arial" w:cs="Arial"/>
        </w:rPr>
        <w:t>should be</w:t>
      </w:r>
      <w:r w:rsidR="00087DF3" w:rsidRPr="0062150D">
        <w:rPr>
          <w:rFonts w:eastAsia="Arial" w:cs="Arial"/>
        </w:rPr>
        <w:t xml:space="preserve"> supported and can be (pre-)configured. Also, it may happen that a network (pre-)configure</w:t>
      </w:r>
      <w:r w:rsidR="00893E85">
        <w:rPr>
          <w:rFonts w:eastAsia="Arial" w:cs="Arial"/>
        </w:rPr>
        <w:t>s</w:t>
      </w:r>
      <w:r w:rsidR="00087DF3" w:rsidRPr="0062150D">
        <w:rPr>
          <w:rFonts w:eastAsia="Arial" w:cs="Arial"/>
        </w:rPr>
        <w:t xml:space="preserve"> a UE to use both RSRP and distance and in this case, a UE is only allowed to skip HARQ feedback transmission when both criteria are not met.</w:t>
      </w:r>
      <w:bookmarkStart w:id="22" w:name="_Toc5119266"/>
    </w:p>
    <w:p w14:paraId="0D3FFAD2" w14:textId="77777777" w:rsidR="00087DF3" w:rsidRPr="0062150D" w:rsidRDefault="00087DF3" w:rsidP="00087DF3">
      <w:pPr>
        <w:pStyle w:val="Proposal"/>
        <w:tabs>
          <w:tab w:val="num" w:pos="2438"/>
        </w:tabs>
        <w:overflowPunct/>
        <w:autoSpaceDE/>
        <w:autoSpaceDN/>
        <w:adjustRightInd/>
        <w:spacing w:line="259" w:lineRule="auto"/>
        <w:textAlignment w:val="auto"/>
      </w:pPr>
      <w:bookmarkStart w:id="23" w:name="_Toc7704270"/>
      <w:bookmarkStart w:id="24" w:name="_Toc7810442"/>
      <w:bookmarkStart w:id="25" w:name="_Toc16871132"/>
      <w:r w:rsidRPr="0062150D">
        <w:t>For sidelink groupcast, both distance and RSRP based HARQ feedback criteria are supported and can be (pre-)configured.</w:t>
      </w:r>
      <w:bookmarkEnd w:id="22"/>
      <w:bookmarkEnd w:id="23"/>
      <w:bookmarkEnd w:id="24"/>
      <w:bookmarkEnd w:id="25"/>
      <w:r w:rsidRPr="0062150D">
        <w:t xml:space="preserve"> </w:t>
      </w:r>
    </w:p>
    <w:p w14:paraId="49B31FF4" w14:textId="4CB86119" w:rsidR="000430B2" w:rsidRDefault="003764C2" w:rsidP="00622779">
      <w:pPr>
        <w:jc w:val="both"/>
        <w:rPr>
          <w:rFonts w:eastAsia="Arial" w:cs="Arial"/>
        </w:rPr>
      </w:pPr>
      <w:r>
        <w:t>Regarding PSFCH resource</w:t>
      </w:r>
      <w:r w:rsidR="00622779">
        <w:t xml:space="preserve"> allocation</w:t>
      </w:r>
      <w:r>
        <w:t>, it</w:t>
      </w:r>
      <w:r w:rsidR="00671CEF">
        <w:t xml:space="preserve"> was agreed </w:t>
      </w:r>
      <w:r w:rsidR="00671CEF">
        <w:rPr>
          <w:rFonts w:eastAsia="Arial" w:cs="Arial"/>
        </w:rPr>
        <w:t xml:space="preserve">on which slot to use with </w:t>
      </w:r>
      <w:r w:rsidR="00671CEF">
        <w:t>an</w:t>
      </w:r>
      <w:r w:rsidR="004C0DD9">
        <w:t xml:space="preserve"> FFS point </w:t>
      </w:r>
      <w:r w:rsidR="00671CEF">
        <w:t>about</w:t>
      </w:r>
      <w:r w:rsidR="004C0DD9">
        <w:rPr>
          <w:rFonts w:eastAsia="Arial" w:cs="Arial"/>
        </w:rPr>
        <w:t xml:space="preserve"> the value of K</w:t>
      </w:r>
      <w:r w:rsidR="000613C0">
        <w:rPr>
          <w:rFonts w:eastAsia="Arial" w:cs="Arial"/>
        </w:rPr>
        <w:t>. We believe</w:t>
      </w:r>
      <w:r w:rsidR="00311F69">
        <w:rPr>
          <w:rFonts w:eastAsia="Arial" w:cs="Arial"/>
        </w:rPr>
        <w:t xml:space="preserve"> that </w:t>
      </w:r>
      <w:r w:rsidR="000B3D9B">
        <w:rPr>
          <w:rFonts w:eastAsia="Arial" w:cs="Arial"/>
        </w:rPr>
        <w:t>K should be determined based on UE capability, which should be ali</w:t>
      </w:r>
      <w:r w:rsidR="00F567DB">
        <w:rPr>
          <w:rFonts w:eastAsia="Arial" w:cs="Arial"/>
        </w:rPr>
        <w:t xml:space="preserve">gned with the consideration in </w:t>
      </w:r>
      <w:proofErr w:type="spellStart"/>
      <w:r w:rsidR="00F567DB">
        <w:rPr>
          <w:rFonts w:eastAsia="Arial" w:cs="Arial"/>
        </w:rPr>
        <w:t>Uu</w:t>
      </w:r>
      <w:proofErr w:type="spellEnd"/>
      <w:r w:rsidR="0030063B">
        <w:rPr>
          <w:rFonts w:eastAsia="Arial" w:cs="Arial"/>
        </w:rPr>
        <w:t xml:space="preserve">. </w:t>
      </w:r>
      <w:r w:rsidR="0054502C">
        <w:rPr>
          <w:rFonts w:eastAsia="Arial" w:cs="Arial"/>
        </w:rPr>
        <w:t>For the DMRS configuration with addi</w:t>
      </w:r>
      <w:r w:rsidR="00233819">
        <w:rPr>
          <w:rFonts w:eastAsia="Arial" w:cs="Arial"/>
        </w:rPr>
        <w:t>tional DMRS occasions in a slot</w:t>
      </w:r>
      <w:r w:rsidR="00220622">
        <w:rPr>
          <w:rFonts w:eastAsia="Arial" w:cs="Arial"/>
        </w:rPr>
        <w:t xml:space="preserve"> (which is more </w:t>
      </w:r>
      <w:r w:rsidR="00220622">
        <w:rPr>
          <w:rFonts w:eastAsia="Arial" w:cs="Arial"/>
        </w:rPr>
        <w:lastRenderedPageBreak/>
        <w:t xml:space="preserve">relevant for </w:t>
      </w:r>
      <w:r w:rsidR="004548AA">
        <w:rPr>
          <w:rFonts w:eastAsia="Arial" w:cs="Arial"/>
        </w:rPr>
        <w:t>V2X</w:t>
      </w:r>
      <w:r w:rsidR="00C53A81">
        <w:rPr>
          <w:rFonts w:eastAsia="Arial" w:cs="Arial"/>
        </w:rPr>
        <w:t xml:space="preserve"> scenario)</w:t>
      </w:r>
      <w:r w:rsidR="00233819">
        <w:rPr>
          <w:rFonts w:eastAsia="Arial" w:cs="Arial"/>
        </w:rPr>
        <w:t>, t</w:t>
      </w:r>
      <w:r w:rsidR="00EF067A">
        <w:rPr>
          <w:rFonts w:eastAsia="Arial" w:cs="Arial"/>
        </w:rPr>
        <w:t xml:space="preserve">he minimum </w:t>
      </w:r>
      <w:r w:rsidR="000430B2">
        <w:rPr>
          <w:rFonts w:eastAsia="Arial" w:cs="Arial"/>
        </w:rPr>
        <w:t xml:space="preserve">UE processing time of DL reception in NR </w:t>
      </w:r>
      <w:proofErr w:type="spellStart"/>
      <w:r w:rsidR="000430B2">
        <w:rPr>
          <w:rFonts w:eastAsia="Arial" w:cs="Arial"/>
        </w:rPr>
        <w:t>Uu</w:t>
      </w:r>
      <w:proofErr w:type="spellEnd"/>
      <w:r w:rsidR="000430B2">
        <w:rPr>
          <w:rFonts w:eastAsia="Arial" w:cs="Arial"/>
        </w:rPr>
        <w:t xml:space="preserve"> is given in the following table.</w:t>
      </w:r>
    </w:p>
    <w:p w14:paraId="341416EE" w14:textId="1BF43FB6" w:rsidR="00ED1668" w:rsidRPr="00AC3E98" w:rsidRDefault="00ED1668" w:rsidP="00ED1668">
      <w:pPr>
        <w:pStyle w:val="Caption"/>
        <w:jc w:val="center"/>
      </w:pPr>
      <w:r>
        <w:t xml:space="preserve">Table </w:t>
      </w:r>
      <w:r w:rsidR="00C34CB5">
        <w:fldChar w:fldCharType="begin"/>
      </w:r>
      <w:r w:rsidR="00C34CB5">
        <w:instrText xml:space="preserve"> SEQ Table \* ARABIC </w:instrText>
      </w:r>
      <w:r w:rsidR="00C34CB5">
        <w:fldChar w:fldCharType="separate"/>
      </w:r>
      <w:r w:rsidR="000526E5">
        <w:rPr>
          <w:noProof/>
        </w:rPr>
        <w:t>1</w:t>
      </w:r>
      <w:r w:rsidR="00C34CB5">
        <w:rPr>
          <w:noProof/>
        </w:rPr>
        <w:fldChar w:fldCharType="end"/>
      </w:r>
      <w:r w:rsidR="008E52FB">
        <w:rPr>
          <w:noProof/>
        </w:rPr>
        <w:t>:</w:t>
      </w:r>
      <w:r>
        <w:t xml:space="preserve"> Minimum Processing Time </w:t>
      </w:r>
      <w:r w:rsidR="008E52FB">
        <w:t xml:space="preserve">for NR </w:t>
      </w:r>
      <w:proofErr w:type="spellStart"/>
      <w:r w:rsidR="008E52FB">
        <w:t>Uu</w:t>
      </w:r>
      <w:proofErr w:type="spellEnd"/>
      <w:r>
        <w:t xml:space="preserve"> (PDSCH Mapping Type A, Feedback on PUCCH)</w:t>
      </w:r>
    </w:p>
    <w:tbl>
      <w:tblPr>
        <w:tblStyle w:val="TableGrid"/>
        <w:tblW w:w="0" w:type="auto"/>
        <w:jc w:val="center"/>
        <w:tblLook w:val="04A0" w:firstRow="1" w:lastRow="0" w:firstColumn="1" w:lastColumn="0" w:noHBand="0" w:noVBand="1"/>
      </w:tblPr>
      <w:tblGrid>
        <w:gridCol w:w="1293"/>
        <w:gridCol w:w="1293"/>
        <w:gridCol w:w="1293"/>
        <w:gridCol w:w="1293"/>
        <w:gridCol w:w="1293"/>
      </w:tblGrid>
      <w:tr w:rsidR="00ED1668" w14:paraId="3C70209F" w14:textId="77777777" w:rsidTr="0084567F">
        <w:trPr>
          <w:trHeight w:val="252"/>
          <w:jc w:val="center"/>
        </w:trPr>
        <w:tc>
          <w:tcPr>
            <w:tcW w:w="1293" w:type="dxa"/>
            <w:vMerge w:val="restart"/>
          </w:tcPr>
          <w:p w14:paraId="01C06D8D" w14:textId="77777777" w:rsidR="00ED1668" w:rsidRPr="00AB1688" w:rsidRDefault="00ED1668" w:rsidP="0084567F">
            <w:pPr>
              <w:jc w:val="center"/>
              <w:rPr>
                <w:rFonts w:eastAsia="Arial" w:cs="Arial"/>
                <w:sz w:val="18"/>
                <w:szCs w:val="18"/>
              </w:rPr>
            </w:pPr>
            <w:r>
              <w:rPr>
                <w:rFonts w:eastAsia="Arial" w:cs="Arial"/>
                <w:sz w:val="18"/>
                <w:szCs w:val="18"/>
              </w:rPr>
              <w:t>Device capability</w:t>
            </w:r>
          </w:p>
        </w:tc>
        <w:tc>
          <w:tcPr>
            <w:tcW w:w="5172" w:type="dxa"/>
            <w:gridSpan w:val="4"/>
          </w:tcPr>
          <w:p w14:paraId="4E375978" w14:textId="77777777" w:rsidR="00ED1668" w:rsidRPr="00AB1688" w:rsidRDefault="00ED1668" w:rsidP="0084567F">
            <w:pPr>
              <w:jc w:val="center"/>
              <w:rPr>
                <w:rFonts w:eastAsia="Arial" w:cs="Arial"/>
                <w:sz w:val="18"/>
                <w:szCs w:val="18"/>
              </w:rPr>
            </w:pPr>
            <w:r>
              <w:rPr>
                <w:rFonts w:eastAsia="Arial" w:cs="Arial"/>
                <w:sz w:val="18"/>
                <w:szCs w:val="18"/>
              </w:rPr>
              <w:t>Subcarrier spacing</w:t>
            </w:r>
          </w:p>
        </w:tc>
      </w:tr>
      <w:tr w:rsidR="00ED1668" w14:paraId="0F62BD6E" w14:textId="77777777" w:rsidTr="0084567F">
        <w:trPr>
          <w:trHeight w:val="258"/>
          <w:jc w:val="center"/>
        </w:trPr>
        <w:tc>
          <w:tcPr>
            <w:tcW w:w="1293" w:type="dxa"/>
            <w:vMerge/>
          </w:tcPr>
          <w:p w14:paraId="34A03DF1" w14:textId="77777777" w:rsidR="00ED1668" w:rsidRPr="00AB1688" w:rsidRDefault="00ED1668" w:rsidP="0084567F">
            <w:pPr>
              <w:jc w:val="center"/>
              <w:rPr>
                <w:rFonts w:eastAsia="Arial" w:cs="Arial"/>
                <w:sz w:val="18"/>
                <w:szCs w:val="18"/>
              </w:rPr>
            </w:pPr>
          </w:p>
        </w:tc>
        <w:tc>
          <w:tcPr>
            <w:tcW w:w="1293" w:type="dxa"/>
          </w:tcPr>
          <w:p w14:paraId="027519A6" w14:textId="77777777" w:rsidR="00ED1668" w:rsidRPr="00AB1688" w:rsidRDefault="00ED1668" w:rsidP="0084567F">
            <w:pPr>
              <w:jc w:val="center"/>
              <w:rPr>
                <w:rFonts w:eastAsia="Arial" w:cs="Arial"/>
                <w:sz w:val="18"/>
                <w:szCs w:val="18"/>
              </w:rPr>
            </w:pPr>
            <w:r>
              <w:rPr>
                <w:rFonts w:eastAsia="Arial" w:cs="Arial"/>
                <w:sz w:val="18"/>
                <w:szCs w:val="18"/>
              </w:rPr>
              <w:t>15 kHz</w:t>
            </w:r>
          </w:p>
        </w:tc>
        <w:tc>
          <w:tcPr>
            <w:tcW w:w="1293" w:type="dxa"/>
          </w:tcPr>
          <w:p w14:paraId="6165B9A3" w14:textId="77777777" w:rsidR="00ED1668" w:rsidRPr="00AB1688" w:rsidRDefault="00ED1668" w:rsidP="0084567F">
            <w:pPr>
              <w:jc w:val="center"/>
              <w:rPr>
                <w:rFonts w:eastAsia="Arial" w:cs="Arial"/>
                <w:sz w:val="18"/>
                <w:szCs w:val="18"/>
              </w:rPr>
            </w:pPr>
            <w:r>
              <w:rPr>
                <w:rFonts w:eastAsia="Arial" w:cs="Arial"/>
                <w:sz w:val="18"/>
                <w:szCs w:val="18"/>
              </w:rPr>
              <w:t>30 kHz</w:t>
            </w:r>
          </w:p>
        </w:tc>
        <w:tc>
          <w:tcPr>
            <w:tcW w:w="1293" w:type="dxa"/>
          </w:tcPr>
          <w:p w14:paraId="168F953C" w14:textId="77777777" w:rsidR="00ED1668" w:rsidRPr="00AB1688" w:rsidRDefault="00ED1668" w:rsidP="0084567F">
            <w:pPr>
              <w:jc w:val="center"/>
              <w:rPr>
                <w:rFonts w:eastAsia="Arial" w:cs="Arial"/>
                <w:sz w:val="18"/>
                <w:szCs w:val="18"/>
              </w:rPr>
            </w:pPr>
            <w:r>
              <w:rPr>
                <w:rFonts w:eastAsia="Arial" w:cs="Arial"/>
                <w:sz w:val="18"/>
                <w:szCs w:val="18"/>
              </w:rPr>
              <w:t>60 kHz</w:t>
            </w:r>
          </w:p>
        </w:tc>
        <w:tc>
          <w:tcPr>
            <w:tcW w:w="1293" w:type="dxa"/>
          </w:tcPr>
          <w:p w14:paraId="1D5CE24F" w14:textId="77777777" w:rsidR="00ED1668" w:rsidRPr="00AB1688" w:rsidRDefault="00ED1668" w:rsidP="0084567F">
            <w:pPr>
              <w:jc w:val="center"/>
              <w:rPr>
                <w:rFonts w:eastAsia="Arial" w:cs="Arial"/>
                <w:sz w:val="18"/>
                <w:szCs w:val="18"/>
              </w:rPr>
            </w:pPr>
            <w:r>
              <w:rPr>
                <w:rFonts w:eastAsia="Arial" w:cs="Arial"/>
                <w:sz w:val="18"/>
                <w:szCs w:val="18"/>
              </w:rPr>
              <w:t>120 kHz</w:t>
            </w:r>
          </w:p>
        </w:tc>
      </w:tr>
      <w:tr w:rsidR="00ED1668" w14:paraId="7F8B94C3" w14:textId="77777777" w:rsidTr="0084567F">
        <w:trPr>
          <w:trHeight w:val="252"/>
          <w:jc w:val="center"/>
        </w:trPr>
        <w:tc>
          <w:tcPr>
            <w:tcW w:w="1293" w:type="dxa"/>
          </w:tcPr>
          <w:p w14:paraId="5A09D86F" w14:textId="77777777" w:rsidR="00ED1668" w:rsidRPr="00AB1688" w:rsidRDefault="00ED1668" w:rsidP="0084567F">
            <w:pPr>
              <w:jc w:val="center"/>
              <w:rPr>
                <w:rFonts w:eastAsia="Arial" w:cs="Arial"/>
                <w:sz w:val="18"/>
                <w:szCs w:val="18"/>
              </w:rPr>
            </w:pPr>
            <w:r>
              <w:rPr>
                <w:rFonts w:eastAsia="Arial" w:cs="Arial"/>
                <w:sz w:val="18"/>
                <w:szCs w:val="18"/>
              </w:rPr>
              <w:t>Baseline</w:t>
            </w:r>
          </w:p>
        </w:tc>
        <w:tc>
          <w:tcPr>
            <w:tcW w:w="1293" w:type="dxa"/>
          </w:tcPr>
          <w:p w14:paraId="46C1125C" w14:textId="77777777" w:rsidR="00ED1668" w:rsidRPr="00AB1688" w:rsidRDefault="00ED1668" w:rsidP="0084567F">
            <w:pPr>
              <w:jc w:val="center"/>
              <w:rPr>
                <w:rFonts w:eastAsia="Arial" w:cs="Arial"/>
                <w:sz w:val="18"/>
                <w:szCs w:val="18"/>
              </w:rPr>
            </w:pPr>
            <w:r>
              <w:rPr>
                <w:rFonts w:eastAsia="Arial" w:cs="Arial"/>
                <w:sz w:val="18"/>
                <w:szCs w:val="18"/>
              </w:rPr>
              <w:t>0.92ms</w:t>
            </w:r>
          </w:p>
        </w:tc>
        <w:tc>
          <w:tcPr>
            <w:tcW w:w="1293" w:type="dxa"/>
          </w:tcPr>
          <w:p w14:paraId="77EA2CCF" w14:textId="77777777" w:rsidR="00ED1668" w:rsidRPr="00AB1688" w:rsidRDefault="00ED1668" w:rsidP="0084567F">
            <w:pPr>
              <w:jc w:val="center"/>
              <w:rPr>
                <w:rFonts w:eastAsia="Arial" w:cs="Arial"/>
                <w:sz w:val="18"/>
                <w:szCs w:val="18"/>
              </w:rPr>
            </w:pPr>
            <w:r>
              <w:rPr>
                <w:rFonts w:eastAsia="Arial" w:cs="Arial"/>
                <w:sz w:val="18"/>
                <w:szCs w:val="18"/>
              </w:rPr>
              <w:t>0.46ms</w:t>
            </w:r>
          </w:p>
        </w:tc>
        <w:tc>
          <w:tcPr>
            <w:tcW w:w="1293" w:type="dxa"/>
            <w:vMerge w:val="restart"/>
          </w:tcPr>
          <w:p w14:paraId="6DC5F5C9" w14:textId="77777777" w:rsidR="00ED1668" w:rsidRPr="00AB1688" w:rsidRDefault="00ED1668" w:rsidP="0084567F">
            <w:pPr>
              <w:jc w:val="center"/>
              <w:rPr>
                <w:rFonts w:eastAsia="Arial" w:cs="Arial"/>
                <w:sz w:val="18"/>
                <w:szCs w:val="18"/>
              </w:rPr>
            </w:pPr>
            <w:r>
              <w:rPr>
                <w:rFonts w:eastAsia="Arial" w:cs="Arial"/>
                <w:sz w:val="18"/>
                <w:szCs w:val="18"/>
              </w:rPr>
              <w:t>0.36ms</w:t>
            </w:r>
          </w:p>
        </w:tc>
        <w:tc>
          <w:tcPr>
            <w:tcW w:w="1293" w:type="dxa"/>
            <w:vMerge w:val="restart"/>
          </w:tcPr>
          <w:p w14:paraId="5E731222" w14:textId="77777777" w:rsidR="00ED1668" w:rsidRPr="00AB1688" w:rsidRDefault="00ED1668" w:rsidP="0084567F">
            <w:pPr>
              <w:jc w:val="center"/>
              <w:rPr>
                <w:rFonts w:eastAsia="Arial" w:cs="Arial"/>
                <w:sz w:val="18"/>
                <w:szCs w:val="18"/>
              </w:rPr>
            </w:pPr>
            <w:r>
              <w:rPr>
                <w:rFonts w:eastAsia="Arial" w:cs="Arial"/>
                <w:sz w:val="18"/>
                <w:szCs w:val="18"/>
              </w:rPr>
              <w:t>0.21ms</w:t>
            </w:r>
          </w:p>
        </w:tc>
      </w:tr>
      <w:tr w:rsidR="00ED1668" w14:paraId="46A6DA6E" w14:textId="77777777" w:rsidTr="0084567F">
        <w:trPr>
          <w:trHeight w:val="252"/>
          <w:jc w:val="center"/>
        </w:trPr>
        <w:tc>
          <w:tcPr>
            <w:tcW w:w="1293" w:type="dxa"/>
          </w:tcPr>
          <w:p w14:paraId="28D70B0E" w14:textId="77777777" w:rsidR="00ED1668" w:rsidRPr="00AB1688" w:rsidRDefault="00ED1668" w:rsidP="0084567F">
            <w:pPr>
              <w:jc w:val="center"/>
              <w:rPr>
                <w:rFonts w:eastAsia="Arial" w:cs="Arial"/>
                <w:sz w:val="18"/>
                <w:szCs w:val="18"/>
              </w:rPr>
            </w:pPr>
            <w:r>
              <w:rPr>
                <w:rFonts w:eastAsia="Arial" w:cs="Arial"/>
                <w:sz w:val="18"/>
                <w:szCs w:val="18"/>
              </w:rPr>
              <w:t>Aggressive</w:t>
            </w:r>
          </w:p>
        </w:tc>
        <w:tc>
          <w:tcPr>
            <w:tcW w:w="1293" w:type="dxa"/>
          </w:tcPr>
          <w:p w14:paraId="5CCFE8A2" w14:textId="77777777" w:rsidR="00ED1668" w:rsidRPr="00AB1688" w:rsidRDefault="00ED1668" w:rsidP="0084567F">
            <w:pPr>
              <w:jc w:val="center"/>
              <w:rPr>
                <w:rFonts w:eastAsia="Arial" w:cs="Arial"/>
                <w:sz w:val="18"/>
                <w:szCs w:val="18"/>
              </w:rPr>
            </w:pPr>
            <w:r>
              <w:rPr>
                <w:rFonts w:eastAsia="Arial" w:cs="Arial"/>
                <w:sz w:val="18"/>
                <w:szCs w:val="18"/>
              </w:rPr>
              <w:t>0.85ms</w:t>
            </w:r>
          </w:p>
        </w:tc>
        <w:tc>
          <w:tcPr>
            <w:tcW w:w="1293" w:type="dxa"/>
          </w:tcPr>
          <w:p w14:paraId="2F1C72CF" w14:textId="77777777" w:rsidR="00ED1668" w:rsidRPr="00AB1688" w:rsidRDefault="00ED1668" w:rsidP="0084567F">
            <w:pPr>
              <w:jc w:val="center"/>
              <w:rPr>
                <w:rFonts w:eastAsia="Arial" w:cs="Arial"/>
                <w:sz w:val="18"/>
                <w:szCs w:val="18"/>
              </w:rPr>
            </w:pPr>
            <w:r>
              <w:rPr>
                <w:rFonts w:eastAsia="Arial" w:cs="Arial"/>
                <w:sz w:val="18"/>
                <w:szCs w:val="18"/>
              </w:rPr>
              <w:t>0.4ms</w:t>
            </w:r>
          </w:p>
        </w:tc>
        <w:tc>
          <w:tcPr>
            <w:tcW w:w="1293" w:type="dxa"/>
            <w:vMerge/>
          </w:tcPr>
          <w:p w14:paraId="716D2E83" w14:textId="77777777" w:rsidR="00ED1668" w:rsidRPr="00AB1688" w:rsidRDefault="00ED1668" w:rsidP="0084567F">
            <w:pPr>
              <w:rPr>
                <w:rFonts w:eastAsia="Arial" w:cs="Arial"/>
                <w:sz w:val="18"/>
                <w:szCs w:val="18"/>
              </w:rPr>
            </w:pPr>
          </w:p>
        </w:tc>
        <w:tc>
          <w:tcPr>
            <w:tcW w:w="1293" w:type="dxa"/>
            <w:vMerge/>
          </w:tcPr>
          <w:p w14:paraId="049E4417" w14:textId="77777777" w:rsidR="00ED1668" w:rsidRPr="00AB1688" w:rsidRDefault="00ED1668" w:rsidP="0084567F">
            <w:pPr>
              <w:rPr>
                <w:rFonts w:eastAsia="Arial" w:cs="Arial"/>
                <w:sz w:val="18"/>
                <w:szCs w:val="18"/>
              </w:rPr>
            </w:pPr>
          </w:p>
        </w:tc>
      </w:tr>
    </w:tbl>
    <w:p w14:paraId="0A54838F" w14:textId="77777777" w:rsidR="00ED1668" w:rsidRDefault="00ED1668" w:rsidP="00565F01">
      <w:pPr>
        <w:rPr>
          <w:rFonts w:eastAsia="Arial" w:cs="Arial"/>
        </w:rPr>
      </w:pPr>
    </w:p>
    <w:p w14:paraId="00C0DF7D" w14:textId="0BB36015" w:rsidR="00ED1668" w:rsidRDefault="00ED1668" w:rsidP="00E45AFA">
      <w:pPr>
        <w:jc w:val="both"/>
        <w:rPr>
          <w:rFonts w:eastAsia="Arial" w:cs="Arial"/>
        </w:rPr>
      </w:pPr>
      <w:r>
        <w:rPr>
          <w:rFonts w:eastAsia="Arial" w:cs="Arial"/>
        </w:rPr>
        <w:t xml:space="preserve">By </w:t>
      </w:r>
      <w:proofErr w:type="gramStart"/>
      <w:r>
        <w:rPr>
          <w:rFonts w:eastAsia="Arial" w:cs="Arial"/>
        </w:rPr>
        <w:t>taking into account</w:t>
      </w:r>
      <w:proofErr w:type="gramEnd"/>
      <w:r>
        <w:rPr>
          <w:rFonts w:eastAsia="Arial" w:cs="Arial"/>
        </w:rPr>
        <w:t xml:space="preserve"> the </w:t>
      </w:r>
      <w:r w:rsidR="007F542D">
        <w:rPr>
          <w:rFonts w:eastAsia="Arial" w:cs="Arial"/>
        </w:rPr>
        <w:t xml:space="preserve">minimum processing time of baseline UE capability and the </w:t>
      </w:r>
      <w:r w:rsidR="007249E8">
        <w:rPr>
          <w:rFonts w:eastAsia="Arial" w:cs="Arial"/>
        </w:rPr>
        <w:t xml:space="preserve">possible slot structure of PSFCH (e.g., 1 or </w:t>
      </w:r>
      <w:r w:rsidR="003222F8">
        <w:rPr>
          <w:rFonts w:eastAsia="Arial" w:cs="Arial"/>
        </w:rPr>
        <w:t xml:space="preserve">2 PSFCH symbols, one GP symbol after PSFCH, and </w:t>
      </w:r>
      <w:r w:rsidR="001B633C">
        <w:rPr>
          <w:rFonts w:eastAsia="Arial" w:cs="Arial"/>
        </w:rPr>
        <w:t>one AGC symbol before PSFCH</w:t>
      </w:r>
      <w:r w:rsidR="007249E8">
        <w:rPr>
          <w:rFonts w:eastAsia="Arial" w:cs="Arial"/>
        </w:rPr>
        <w:t>)</w:t>
      </w:r>
      <w:r w:rsidR="00C039CA">
        <w:rPr>
          <w:rFonts w:eastAsia="Arial" w:cs="Arial"/>
        </w:rPr>
        <w:t>, we think K should be</w:t>
      </w:r>
      <w:r w:rsidR="000E4BAC">
        <w:rPr>
          <w:rFonts w:eastAsia="Arial" w:cs="Arial"/>
        </w:rPr>
        <w:t xml:space="preserve"> at least 2 irrespective of </w:t>
      </w:r>
      <w:r w:rsidR="00044594">
        <w:rPr>
          <w:rFonts w:eastAsia="Arial" w:cs="Arial"/>
        </w:rPr>
        <w:t xml:space="preserve">the </w:t>
      </w:r>
      <w:r w:rsidR="000E4BAC">
        <w:rPr>
          <w:rFonts w:eastAsia="Arial" w:cs="Arial"/>
        </w:rPr>
        <w:t>subcarrier spacing.</w:t>
      </w:r>
    </w:p>
    <w:p w14:paraId="5EEA930B" w14:textId="17F7A05D" w:rsidR="00EE3C4A" w:rsidRPr="0062150D" w:rsidRDefault="00EE3C4A" w:rsidP="00EE3C4A">
      <w:pPr>
        <w:pStyle w:val="Proposal"/>
        <w:tabs>
          <w:tab w:val="num" w:pos="2438"/>
        </w:tabs>
        <w:overflowPunct/>
        <w:autoSpaceDE/>
        <w:autoSpaceDN/>
        <w:adjustRightInd/>
        <w:spacing w:line="259" w:lineRule="auto"/>
        <w:textAlignment w:val="auto"/>
      </w:pPr>
      <w:bookmarkStart w:id="26" w:name="_Toc16871133"/>
      <w:r>
        <w:t xml:space="preserve">Support </w:t>
      </w:r>
      <w:r w:rsidR="00A3034A">
        <w:t xml:space="preserve">at least </w:t>
      </w:r>
      <w:r>
        <w:t>K=2</w:t>
      </w:r>
      <w:r w:rsidR="002F5844">
        <w:t xml:space="preserve"> for all SCS</w:t>
      </w:r>
      <w:r w:rsidRPr="0062150D">
        <w:t xml:space="preserve">. </w:t>
      </w:r>
      <w:r w:rsidR="003557F5">
        <w:t>FFS K=</w:t>
      </w:r>
      <w:r w:rsidR="00DD6BCD">
        <w:t>1 for 15kHz and 30kHz.</w:t>
      </w:r>
      <w:bookmarkEnd w:id="26"/>
      <w:r w:rsidR="00DD6BCD">
        <w:t xml:space="preserve"> </w:t>
      </w:r>
    </w:p>
    <w:p w14:paraId="49023151" w14:textId="06DE1340" w:rsidR="000E4BAC" w:rsidRDefault="00CC65FE" w:rsidP="00422C55">
      <w:pPr>
        <w:jc w:val="both"/>
        <w:rPr>
          <w:rFonts w:eastAsia="Arial" w:cs="Arial"/>
          <w:lang w:val="en-US"/>
        </w:rPr>
      </w:pPr>
      <w:r>
        <w:rPr>
          <w:rFonts w:eastAsia="Arial" w:cs="Arial"/>
        </w:rPr>
        <w:t>Additionally, i</w:t>
      </w:r>
      <w:r w:rsidR="00455FEF">
        <w:rPr>
          <w:rFonts w:eastAsia="Arial" w:cs="Arial"/>
        </w:rPr>
        <w:t>t has been agreed</w:t>
      </w:r>
      <w:r w:rsidR="001144BB">
        <w:rPr>
          <w:rFonts w:eastAsia="Arial" w:cs="Arial"/>
        </w:rPr>
        <w:t xml:space="preserve"> </w:t>
      </w:r>
      <w:r w:rsidR="001144BB">
        <w:rPr>
          <w:rFonts w:eastAsia="Arial" w:cs="Arial"/>
          <w:lang w:val="en-US"/>
        </w:rPr>
        <w:t xml:space="preserve">to use </w:t>
      </w:r>
      <w:r w:rsidR="00CA6B5F">
        <w:rPr>
          <w:rFonts w:eastAsia="Arial" w:cs="Arial"/>
          <w:lang w:val="en-US"/>
        </w:rPr>
        <w:t>i</w:t>
      </w:r>
      <w:r w:rsidR="001144BB" w:rsidRPr="00FF529F">
        <w:rPr>
          <w:rFonts w:eastAsia="Arial" w:cs="Arial"/>
          <w:lang w:val="en-US"/>
        </w:rPr>
        <w:t>mplicit mechanism to determine frequency and/or code domain resource of PSFCH</w:t>
      </w:r>
      <w:r w:rsidR="00E26013">
        <w:rPr>
          <w:rFonts w:eastAsia="Arial" w:cs="Arial"/>
          <w:lang w:val="en-US"/>
        </w:rPr>
        <w:t xml:space="preserve"> </w:t>
      </w:r>
      <w:r w:rsidR="005A2DBB">
        <w:rPr>
          <w:rFonts w:eastAsia="Arial" w:cs="Arial"/>
          <w:lang w:val="en-US"/>
        </w:rPr>
        <w:t>in response to PSSCH</w:t>
      </w:r>
      <w:r w:rsidR="001144BB" w:rsidRPr="00FF529F">
        <w:rPr>
          <w:rFonts w:eastAsia="Arial" w:cs="Arial"/>
          <w:lang w:val="en-US"/>
        </w:rPr>
        <w:t>, within a configured resource pool</w:t>
      </w:r>
      <w:r w:rsidR="004E7833">
        <w:rPr>
          <w:rFonts w:eastAsia="Arial" w:cs="Arial"/>
          <w:lang w:val="en-US"/>
        </w:rPr>
        <w:t xml:space="preserve">. Now we will present our views </w:t>
      </w:r>
      <w:r w:rsidR="00903719">
        <w:rPr>
          <w:rFonts w:eastAsia="Arial" w:cs="Arial"/>
          <w:lang w:val="en-US"/>
        </w:rPr>
        <w:t>on</w:t>
      </w:r>
      <w:r w:rsidR="004E7833">
        <w:rPr>
          <w:rFonts w:eastAsia="Arial" w:cs="Arial"/>
          <w:lang w:val="en-US"/>
        </w:rPr>
        <w:t xml:space="preserve"> the implicit </w:t>
      </w:r>
      <w:r w:rsidR="00422C55">
        <w:rPr>
          <w:rFonts w:eastAsia="Arial" w:cs="Arial"/>
          <w:lang w:val="en-US"/>
        </w:rPr>
        <w:t xml:space="preserve">PSFCH resource allocation </w:t>
      </w:r>
      <w:r w:rsidR="004E7833">
        <w:rPr>
          <w:rFonts w:eastAsia="Arial" w:cs="Arial"/>
          <w:lang w:val="en-US"/>
        </w:rPr>
        <w:t xml:space="preserve">mechanisms </w:t>
      </w:r>
      <w:r w:rsidR="00422C55">
        <w:rPr>
          <w:rFonts w:eastAsia="Arial" w:cs="Arial"/>
          <w:lang w:val="en-US"/>
        </w:rPr>
        <w:t xml:space="preserve">that should be agreed </w:t>
      </w:r>
      <w:r w:rsidR="004E7833">
        <w:rPr>
          <w:rFonts w:eastAsia="Arial" w:cs="Arial"/>
          <w:lang w:val="en-US"/>
        </w:rPr>
        <w:t>for unicast and groupcast respectively.</w:t>
      </w:r>
      <w:r w:rsidR="0017081F">
        <w:rPr>
          <w:rFonts w:eastAsia="Arial" w:cs="Arial"/>
          <w:lang w:val="en-US"/>
        </w:rPr>
        <w:t xml:space="preserve"> </w:t>
      </w:r>
    </w:p>
    <w:p w14:paraId="0C39ABC5" w14:textId="221C4681" w:rsidR="0027748E" w:rsidRPr="008E2B97" w:rsidRDefault="004E7833" w:rsidP="00882F71">
      <w:pPr>
        <w:jc w:val="both"/>
        <w:rPr>
          <w:rFonts w:eastAsia="Arial" w:cs="Arial"/>
        </w:rPr>
      </w:pPr>
      <w:r>
        <w:rPr>
          <w:rFonts w:eastAsia="Arial" w:cs="Arial"/>
        </w:rPr>
        <w:t>For sidelink unicast</w:t>
      </w:r>
      <w:r w:rsidR="00191AE2">
        <w:rPr>
          <w:rFonts w:eastAsia="Arial" w:cs="Arial"/>
        </w:rPr>
        <w:t>, first we believe</w:t>
      </w:r>
      <w:r w:rsidR="005F09AC">
        <w:rPr>
          <w:rFonts w:eastAsia="Arial" w:cs="Arial"/>
        </w:rPr>
        <w:t xml:space="preserve"> that</w:t>
      </w:r>
      <w:r w:rsidR="00191AE2">
        <w:rPr>
          <w:rFonts w:eastAsia="Arial" w:cs="Arial"/>
        </w:rPr>
        <w:t xml:space="preserve"> the RB used for PSFCH should be confined within the</w:t>
      </w:r>
      <w:r w:rsidR="00A22B8B">
        <w:rPr>
          <w:rFonts w:eastAsia="Arial" w:cs="Arial"/>
        </w:rPr>
        <w:t xml:space="preserve"> subchannel used by the associated PSSCH</w:t>
      </w:r>
      <w:r w:rsidR="005F09AC">
        <w:rPr>
          <w:rFonts w:eastAsia="Arial" w:cs="Arial"/>
        </w:rPr>
        <w:t xml:space="preserve">. </w:t>
      </w:r>
      <w:r w:rsidR="00A81B85">
        <w:rPr>
          <w:rFonts w:eastAsia="Arial" w:cs="Arial"/>
        </w:rPr>
        <w:t xml:space="preserve">Also, </w:t>
      </w:r>
      <w:r w:rsidR="0010027D">
        <w:rPr>
          <w:rFonts w:eastAsia="Arial" w:cs="Arial"/>
        </w:rPr>
        <w:t xml:space="preserve">it is more beneficial to send </w:t>
      </w:r>
      <w:r w:rsidR="009530A9">
        <w:rPr>
          <w:rFonts w:eastAsia="Arial" w:cs="Arial"/>
        </w:rPr>
        <w:t>ACK</w:t>
      </w:r>
      <w:r w:rsidR="0010027D">
        <w:rPr>
          <w:rFonts w:eastAsia="Arial" w:cs="Arial"/>
        </w:rPr>
        <w:t>(s)</w:t>
      </w:r>
      <w:r w:rsidR="009530A9">
        <w:rPr>
          <w:rFonts w:eastAsia="Arial" w:cs="Arial"/>
        </w:rPr>
        <w:t xml:space="preserve"> and NACK</w:t>
      </w:r>
      <w:r w:rsidR="0010027D">
        <w:rPr>
          <w:rFonts w:eastAsia="Arial" w:cs="Arial"/>
        </w:rPr>
        <w:t xml:space="preserve">(s) </w:t>
      </w:r>
      <w:r w:rsidR="009530A9">
        <w:rPr>
          <w:rFonts w:eastAsia="Arial" w:cs="Arial"/>
        </w:rPr>
        <w:t>on different RBs</w:t>
      </w:r>
      <w:r w:rsidR="0010027D">
        <w:rPr>
          <w:rFonts w:eastAsia="Arial" w:cs="Arial"/>
        </w:rPr>
        <w:t>.</w:t>
      </w:r>
      <w:r w:rsidR="00EA05C7">
        <w:rPr>
          <w:rFonts w:eastAsia="Arial" w:cs="Arial"/>
        </w:rPr>
        <w:t xml:space="preserve"> Furthermore</w:t>
      </w:r>
      <w:r w:rsidR="005F09AC">
        <w:rPr>
          <w:rFonts w:eastAsia="Arial" w:cs="Arial"/>
        </w:rPr>
        <w:t xml:space="preserve">, to differentiate </w:t>
      </w:r>
      <w:r w:rsidR="006B1B14">
        <w:rPr>
          <w:rFonts w:eastAsia="Arial" w:cs="Arial"/>
        </w:rPr>
        <w:t xml:space="preserve">PSFCH transmissions in response to different </w:t>
      </w:r>
      <w:r w:rsidR="0048350D">
        <w:rPr>
          <w:rFonts w:eastAsia="Arial" w:cs="Arial"/>
        </w:rPr>
        <w:t>PSSCH</w:t>
      </w:r>
      <w:r w:rsidR="006B1B14">
        <w:rPr>
          <w:rFonts w:eastAsia="Arial" w:cs="Arial"/>
        </w:rPr>
        <w:t>s</w:t>
      </w:r>
      <w:r w:rsidR="0048350D">
        <w:rPr>
          <w:rFonts w:eastAsia="Arial" w:cs="Arial"/>
        </w:rPr>
        <w:t xml:space="preserve"> occurring in the same time-frequency resources</w:t>
      </w:r>
      <w:r w:rsidR="006A263F">
        <w:rPr>
          <w:rFonts w:eastAsia="Arial" w:cs="Arial"/>
        </w:rPr>
        <w:t xml:space="preserve">, the selected PSFCH resource </w:t>
      </w:r>
      <w:r w:rsidR="00E9427F">
        <w:rPr>
          <w:rFonts w:eastAsia="Arial" w:cs="Arial"/>
        </w:rPr>
        <w:t>should depend on the T</w:t>
      </w:r>
      <w:r w:rsidR="00DA1C16">
        <w:rPr>
          <w:rFonts w:eastAsia="Arial" w:cs="Arial"/>
        </w:rPr>
        <w:t>X</w:t>
      </w:r>
      <w:r w:rsidR="00E9427F">
        <w:rPr>
          <w:rFonts w:eastAsia="Arial" w:cs="Arial"/>
        </w:rPr>
        <w:t xml:space="preserve"> UE’s L1 source ID.</w:t>
      </w:r>
      <w:r w:rsidR="001202BF">
        <w:rPr>
          <w:rFonts w:eastAsia="Arial" w:cs="Arial"/>
        </w:rPr>
        <w:t xml:space="preserve"> The ID can be used to select a base sequence for </w:t>
      </w:r>
      <w:r w:rsidR="00B640C9">
        <w:rPr>
          <w:rFonts w:eastAsia="Arial" w:cs="Arial"/>
        </w:rPr>
        <w:t>HARQ feedback.</w:t>
      </w:r>
      <w:r w:rsidR="00E9427F">
        <w:rPr>
          <w:rFonts w:eastAsia="Arial" w:cs="Arial"/>
        </w:rPr>
        <w:t xml:space="preserve"> Hence, the implicit</w:t>
      </w:r>
      <w:r w:rsidR="00DA1C16">
        <w:rPr>
          <w:rFonts w:eastAsia="Arial" w:cs="Arial"/>
        </w:rPr>
        <w:t xml:space="preserve"> mechanism for unicast can be given by the following formula</w:t>
      </w:r>
      <w:r w:rsidR="0027748E">
        <w:rPr>
          <w:rFonts w:eastAsia="Arial" w:cs="Arial"/>
        </w:rPr>
        <w:t>:</w:t>
      </w:r>
      <w:r w:rsidR="00B33A20">
        <w:rPr>
          <w:rFonts w:eastAsia="Arial" w:cs="Arial"/>
          <w:i/>
        </w:rPr>
        <w:t xml:space="preserve"> </w:t>
      </w:r>
      <w:r w:rsidR="00DA1C16" w:rsidRPr="00882F71">
        <w:rPr>
          <w:rFonts w:eastAsia="Arial" w:cs="Arial"/>
          <w:i/>
        </w:rPr>
        <w:t>PSFCH resource</w:t>
      </w:r>
      <w:r w:rsidR="00B33A20" w:rsidRPr="00882F71">
        <w:rPr>
          <w:rFonts w:eastAsia="Arial" w:cs="Arial"/>
          <w:i/>
        </w:rPr>
        <w:t xml:space="preserve"> of unicast</w:t>
      </w:r>
      <w:r w:rsidR="00DA1C16" w:rsidRPr="00882F71">
        <w:rPr>
          <w:rFonts w:eastAsia="Arial" w:cs="Arial"/>
          <w:i/>
        </w:rPr>
        <w:t xml:space="preserve"> (RB, code) = function (PSSCH subchannel, TX UE’s L1 source ID, decoding outcome)</w:t>
      </w:r>
      <w:r w:rsidR="0027748E" w:rsidRPr="00882F71">
        <w:rPr>
          <w:rFonts w:eastAsia="Arial" w:cs="Arial"/>
          <w:i/>
        </w:rPr>
        <w:t>.</w:t>
      </w:r>
      <w:r w:rsidR="006A263F" w:rsidRPr="00666781">
        <w:rPr>
          <w:rFonts w:eastAsia="Arial" w:cs="Arial"/>
          <w:i/>
        </w:rPr>
        <w:t xml:space="preserve"> </w:t>
      </w:r>
    </w:p>
    <w:p w14:paraId="233256EA" w14:textId="77777777" w:rsidR="00171F24" w:rsidRDefault="0027748E" w:rsidP="00171F24">
      <w:pPr>
        <w:pStyle w:val="Proposal"/>
        <w:tabs>
          <w:tab w:val="num" w:pos="2438"/>
        </w:tabs>
        <w:overflowPunct/>
        <w:autoSpaceDE/>
        <w:autoSpaceDN/>
        <w:adjustRightInd/>
        <w:spacing w:line="259" w:lineRule="auto"/>
        <w:textAlignment w:val="auto"/>
      </w:pPr>
      <w:bookmarkStart w:id="27" w:name="_Toc16871134"/>
      <w:r w:rsidRPr="00DD6348">
        <w:rPr>
          <w:rFonts w:eastAsia="Arial" w:cs="Arial"/>
        </w:rPr>
        <w:t>For sidelink unicast,</w:t>
      </w:r>
      <w:r w:rsidR="00171F24">
        <w:t xml:space="preserve"> </w:t>
      </w:r>
      <w:r w:rsidRPr="00171F24">
        <w:rPr>
          <w:rFonts w:eastAsia="Arial" w:cs="Arial"/>
        </w:rPr>
        <w:t>PSFCH resource (RB, code) = function (PSSCH subchannel, TX UE’s L1 source ID, decoding outcome).</w:t>
      </w:r>
      <w:bookmarkEnd w:id="27"/>
    </w:p>
    <w:p w14:paraId="273CD358" w14:textId="77777777" w:rsidR="00171F24" w:rsidRDefault="0027748E" w:rsidP="00171F24">
      <w:pPr>
        <w:pStyle w:val="Proposal"/>
        <w:numPr>
          <w:ilvl w:val="1"/>
          <w:numId w:val="2"/>
        </w:numPr>
        <w:overflowPunct/>
        <w:autoSpaceDE/>
        <w:autoSpaceDN/>
        <w:adjustRightInd/>
        <w:spacing w:line="259" w:lineRule="auto"/>
        <w:textAlignment w:val="auto"/>
      </w:pPr>
      <w:bookmarkStart w:id="28" w:name="_Toc16871135"/>
      <w:r>
        <w:t>The used RB is confined within the subchannel of the associated PSSCH transmission.</w:t>
      </w:r>
      <w:bookmarkEnd w:id="28"/>
    </w:p>
    <w:p w14:paraId="6A2995FE" w14:textId="1A753D7B" w:rsidR="00171F24" w:rsidRDefault="0027748E" w:rsidP="00171F24">
      <w:pPr>
        <w:pStyle w:val="Proposal"/>
        <w:numPr>
          <w:ilvl w:val="1"/>
          <w:numId w:val="2"/>
        </w:numPr>
        <w:overflowPunct/>
        <w:autoSpaceDE/>
        <w:autoSpaceDN/>
        <w:adjustRightInd/>
        <w:spacing w:line="259" w:lineRule="auto"/>
        <w:textAlignment w:val="auto"/>
      </w:pPr>
      <w:bookmarkStart w:id="29" w:name="_Toc16871136"/>
      <w:r>
        <w:t xml:space="preserve">ACK and NACK </w:t>
      </w:r>
      <w:r w:rsidR="00040CA0">
        <w:t>are transmitted using different RBs within the subchannel</w:t>
      </w:r>
      <w:r>
        <w:t>.</w:t>
      </w:r>
      <w:bookmarkEnd w:id="29"/>
    </w:p>
    <w:p w14:paraId="3DF6C298" w14:textId="00CA40EE" w:rsidR="0027748E" w:rsidRPr="0027748E" w:rsidRDefault="0027748E" w:rsidP="00171F24">
      <w:pPr>
        <w:pStyle w:val="Proposal"/>
        <w:numPr>
          <w:ilvl w:val="1"/>
          <w:numId w:val="2"/>
        </w:numPr>
        <w:overflowPunct/>
        <w:autoSpaceDE/>
        <w:autoSpaceDN/>
        <w:adjustRightInd/>
        <w:spacing w:line="259" w:lineRule="auto"/>
        <w:textAlignment w:val="auto"/>
      </w:pPr>
      <w:bookmarkStart w:id="30" w:name="_Toc16871137"/>
      <w:r>
        <w:t>The used code is selected by TX UE’s L1 source ID.</w:t>
      </w:r>
      <w:bookmarkEnd w:id="30"/>
      <w:r>
        <w:t xml:space="preserve"> </w:t>
      </w:r>
    </w:p>
    <w:p w14:paraId="147292AB" w14:textId="706D765C" w:rsidR="001873FF" w:rsidRPr="0061090E" w:rsidRDefault="00666781" w:rsidP="00882F71">
      <w:pPr>
        <w:jc w:val="both"/>
        <w:rPr>
          <w:rFonts w:eastAsia="Arial" w:cs="Arial"/>
        </w:rPr>
      </w:pPr>
      <w:r>
        <w:rPr>
          <w:rFonts w:eastAsia="Arial" w:cs="Arial"/>
        </w:rPr>
        <w:t xml:space="preserve">For sidelink groupcast, </w:t>
      </w:r>
      <w:r w:rsidR="0042245F">
        <w:rPr>
          <w:rFonts w:eastAsia="Arial" w:cs="Arial"/>
        </w:rPr>
        <w:t>the considerations are similar. However, since</w:t>
      </w:r>
      <w:r w:rsidR="001A350E">
        <w:rPr>
          <w:rFonts w:eastAsia="Arial" w:cs="Arial"/>
        </w:rPr>
        <w:t xml:space="preserve"> it was agreed to let </w:t>
      </w:r>
      <w:r w:rsidR="001A350E" w:rsidRPr="0057144E">
        <w:rPr>
          <w:rFonts w:eastAsia="Arial" w:cs="Arial"/>
          <w:lang w:val="en-US"/>
        </w:rPr>
        <w:t xml:space="preserve">each </w:t>
      </w:r>
      <w:r w:rsidR="00F14FC1">
        <w:rPr>
          <w:rFonts w:eastAsia="Arial" w:cs="Arial"/>
          <w:lang w:val="en-US"/>
        </w:rPr>
        <w:t>RX</w:t>
      </w:r>
      <w:r w:rsidR="001A350E" w:rsidRPr="0057144E">
        <w:rPr>
          <w:rFonts w:eastAsia="Arial" w:cs="Arial"/>
          <w:lang w:val="en-US"/>
        </w:rPr>
        <w:t xml:space="preserve"> UE </w:t>
      </w:r>
      <w:r w:rsidR="001A350E">
        <w:rPr>
          <w:rFonts w:eastAsia="Arial" w:cs="Arial"/>
          <w:lang w:val="en-US"/>
        </w:rPr>
        <w:t>use</w:t>
      </w:r>
      <w:r w:rsidR="001A350E" w:rsidRPr="0057144E">
        <w:rPr>
          <w:rFonts w:eastAsia="Arial" w:cs="Arial"/>
          <w:lang w:val="en-US"/>
        </w:rPr>
        <w:t xml:space="preserve"> a separate PSFCH</w:t>
      </w:r>
      <w:r w:rsidR="002B2A7F">
        <w:rPr>
          <w:rFonts w:eastAsia="Arial" w:cs="Arial"/>
          <w:lang w:val="en-US"/>
        </w:rPr>
        <w:t xml:space="preserve"> resource</w:t>
      </w:r>
      <w:r w:rsidR="001A350E" w:rsidRPr="0057144E">
        <w:rPr>
          <w:rFonts w:eastAsia="Arial" w:cs="Arial"/>
          <w:lang w:val="en-US"/>
        </w:rPr>
        <w:t xml:space="preserve"> for HARQ ACK/NACK</w:t>
      </w:r>
      <w:r w:rsidR="001A350E">
        <w:rPr>
          <w:rFonts w:eastAsia="Arial" w:cs="Arial"/>
          <w:lang w:val="en-US"/>
        </w:rPr>
        <w:t xml:space="preserve"> </w:t>
      </w:r>
      <w:r w:rsidR="004F3348">
        <w:rPr>
          <w:rFonts w:eastAsia="Arial" w:cs="Arial"/>
          <w:lang w:val="en-US"/>
        </w:rPr>
        <w:t>for option 2</w:t>
      </w:r>
      <w:r w:rsidR="004C1B5F">
        <w:rPr>
          <w:rFonts w:eastAsia="Arial" w:cs="Arial"/>
          <w:lang w:val="en-US"/>
        </w:rPr>
        <w:t>, w</w:t>
      </w:r>
      <w:r w:rsidR="004F3348">
        <w:rPr>
          <w:rFonts w:eastAsia="Arial" w:cs="Arial"/>
          <w:lang w:val="en-US"/>
        </w:rPr>
        <w:t>e need to further</w:t>
      </w:r>
      <w:r w:rsidR="00AC6B5C">
        <w:rPr>
          <w:rFonts w:eastAsia="Arial" w:cs="Arial"/>
          <w:lang w:val="en-US"/>
        </w:rPr>
        <w:t xml:space="preserve"> study how to</w:t>
      </w:r>
      <w:r w:rsidR="004F3348">
        <w:rPr>
          <w:rFonts w:eastAsia="Arial" w:cs="Arial"/>
          <w:lang w:val="en-US"/>
        </w:rPr>
        <w:t xml:space="preserve"> </w:t>
      </w:r>
      <w:r w:rsidR="00540A27">
        <w:rPr>
          <w:rFonts w:eastAsia="Arial" w:cs="Arial"/>
          <w:lang w:val="en-US"/>
        </w:rPr>
        <w:t>implicitly allocate PSFCH resource which is different for each RX UE in a group</w:t>
      </w:r>
      <w:r w:rsidR="00AC6B5C">
        <w:rPr>
          <w:rFonts w:eastAsia="Arial" w:cs="Arial"/>
          <w:lang w:val="en-US"/>
        </w:rPr>
        <w:t>.</w:t>
      </w:r>
      <w:r w:rsidR="0042245F">
        <w:rPr>
          <w:rFonts w:eastAsia="Arial" w:cs="Arial"/>
        </w:rPr>
        <w:t xml:space="preserve"> </w:t>
      </w:r>
      <w:r w:rsidR="00F3738F">
        <w:rPr>
          <w:rFonts w:eastAsia="Arial" w:cs="Arial"/>
        </w:rPr>
        <w:t xml:space="preserve">For this purpose, we think </w:t>
      </w:r>
      <w:r w:rsidR="00E60253">
        <w:rPr>
          <w:rFonts w:eastAsia="Arial" w:cs="Arial"/>
        </w:rPr>
        <w:t xml:space="preserve">for </w:t>
      </w:r>
      <w:r w:rsidR="00600808">
        <w:rPr>
          <w:rFonts w:eastAsia="Arial" w:cs="Arial"/>
        </w:rPr>
        <w:t>one groupcast, the base sequence</w:t>
      </w:r>
      <w:r w:rsidR="00D45DA9">
        <w:rPr>
          <w:rFonts w:eastAsia="Arial" w:cs="Arial"/>
        </w:rPr>
        <w:t xml:space="preserve"> used for all </w:t>
      </w:r>
      <w:r w:rsidR="00115E50">
        <w:rPr>
          <w:rFonts w:eastAsia="Arial" w:cs="Arial"/>
        </w:rPr>
        <w:t xml:space="preserve">the </w:t>
      </w:r>
      <w:r w:rsidR="00D45DA9">
        <w:rPr>
          <w:rFonts w:eastAsia="Arial" w:cs="Arial"/>
        </w:rPr>
        <w:t xml:space="preserve">PSFCH resources </w:t>
      </w:r>
      <w:r w:rsidR="009943D4">
        <w:rPr>
          <w:rFonts w:eastAsia="Arial" w:cs="Arial"/>
        </w:rPr>
        <w:t xml:space="preserve">of RX UEs should be the same, which depends on TX UE’s L1 source ID. </w:t>
      </w:r>
      <w:r w:rsidR="00DB6CE1">
        <w:rPr>
          <w:rFonts w:eastAsia="Arial" w:cs="Arial"/>
        </w:rPr>
        <w:t>On top of it, each RX UE can select a cycl</w:t>
      </w:r>
      <w:r w:rsidR="00E80780">
        <w:rPr>
          <w:rFonts w:eastAsia="Arial" w:cs="Arial"/>
        </w:rPr>
        <w:t>ic shift appl</w:t>
      </w:r>
      <w:r w:rsidR="00F3738F">
        <w:rPr>
          <w:rFonts w:eastAsia="Arial" w:cs="Arial"/>
        </w:rPr>
        <w:t>ied</w:t>
      </w:r>
      <w:r w:rsidR="00E80780">
        <w:rPr>
          <w:rFonts w:eastAsia="Arial" w:cs="Arial"/>
        </w:rPr>
        <w:t xml:space="preserve"> to the base sequence, where the cyclic shift </w:t>
      </w:r>
      <w:r w:rsidR="009F30AF">
        <w:rPr>
          <w:rFonts w:eastAsia="Arial" w:cs="Arial"/>
        </w:rPr>
        <w:t>depends</w:t>
      </w:r>
      <w:r w:rsidR="00E80780">
        <w:rPr>
          <w:rFonts w:eastAsia="Arial" w:cs="Arial"/>
        </w:rPr>
        <w:t xml:space="preserve"> on the R</w:t>
      </w:r>
      <w:r w:rsidR="00DF3B57">
        <w:rPr>
          <w:rFonts w:eastAsia="Arial" w:cs="Arial"/>
        </w:rPr>
        <w:t xml:space="preserve">X UE’s source ID. In this </w:t>
      </w:r>
      <w:r w:rsidR="00DC1193">
        <w:rPr>
          <w:rFonts w:eastAsia="Arial" w:cs="Arial"/>
        </w:rPr>
        <w:t xml:space="preserve">way, </w:t>
      </w:r>
      <w:r w:rsidR="00747382">
        <w:rPr>
          <w:rFonts w:eastAsia="Arial" w:cs="Arial"/>
        </w:rPr>
        <w:t>without</w:t>
      </w:r>
      <w:r w:rsidR="00DC1193">
        <w:rPr>
          <w:rFonts w:eastAsia="Arial" w:cs="Arial"/>
        </w:rPr>
        <w:t xml:space="preserve"> additional signalling </w:t>
      </w:r>
      <w:r w:rsidR="00747382">
        <w:rPr>
          <w:rFonts w:eastAsia="Arial" w:cs="Arial"/>
        </w:rPr>
        <w:t xml:space="preserve">between TX and RX UEs, the TX UE can still know </w:t>
      </w:r>
      <w:r w:rsidR="00073676">
        <w:rPr>
          <w:rFonts w:eastAsia="Arial" w:cs="Arial"/>
        </w:rPr>
        <w:t xml:space="preserve">which base sequence the </w:t>
      </w:r>
      <w:r w:rsidR="003026A9">
        <w:rPr>
          <w:rFonts w:eastAsia="Arial" w:cs="Arial"/>
        </w:rPr>
        <w:t xml:space="preserve">PSFCH resources </w:t>
      </w:r>
      <w:r w:rsidR="00BD7E45">
        <w:rPr>
          <w:rFonts w:eastAsia="Arial" w:cs="Arial"/>
        </w:rPr>
        <w:t>may use</w:t>
      </w:r>
      <w:r w:rsidR="003026A9">
        <w:rPr>
          <w:rFonts w:eastAsia="Arial" w:cs="Arial"/>
        </w:rPr>
        <w:t xml:space="preserve"> and then perform blind detection over all the</w:t>
      </w:r>
      <w:r w:rsidR="007E3C11">
        <w:rPr>
          <w:rFonts w:eastAsia="Arial" w:cs="Arial"/>
        </w:rPr>
        <w:t xml:space="preserve"> possible cyclic shifts</w:t>
      </w:r>
      <w:r w:rsidR="000F64AB">
        <w:rPr>
          <w:rFonts w:eastAsia="Arial" w:cs="Arial"/>
        </w:rPr>
        <w:t xml:space="preserve"> of the base sequence</w:t>
      </w:r>
      <w:r w:rsidR="007E3C11">
        <w:rPr>
          <w:rFonts w:eastAsia="Arial" w:cs="Arial"/>
        </w:rPr>
        <w:t>.</w:t>
      </w:r>
      <w:r w:rsidR="000F64AB">
        <w:rPr>
          <w:rFonts w:eastAsia="Arial" w:cs="Arial"/>
        </w:rPr>
        <w:t xml:space="preserve"> The allowed values of cyclic shifts can be configured in advance.</w:t>
      </w:r>
      <w:r w:rsidR="007E3C11">
        <w:rPr>
          <w:rFonts w:eastAsia="Arial" w:cs="Arial"/>
        </w:rPr>
        <w:t xml:space="preserve"> </w:t>
      </w:r>
      <w:r w:rsidR="004204A6">
        <w:rPr>
          <w:rFonts w:eastAsia="Arial" w:cs="Arial"/>
        </w:rPr>
        <w:t>Therefore, the implicit mechanism for groupcast can be given by the following formula</w:t>
      </w:r>
      <w:r w:rsidR="0061090E">
        <w:rPr>
          <w:rFonts w:eastAsia="Arial" w:cs="Arial"/>
        </w:rPr>
        <w:t xml:space="preserve">: </w:t>
      </w:r>
      <w:r w:rsidR="001873FF" w:rsidRPr="007A4256">
        <w:rPr>
          <w:rFonts w:eastAsia="Arial" w:cs="Arial"/>
          <w:i/>
        </w:rPr>
        <w:t>PSFCH resource of groupcast (RB, code) = function (PSSCH subchannel, TX UE’s L1 source ID, decoding outcome, RX UE’s source ID)</w:t>
      </w:r>
      <w:r w:rsidR="0061090E" w:rsidRPr="007A4256">
        <w:rPr>
          <w:rFonts w:eastAsia="Arial" w:cs="Arial"/>
          <w:i/>
        </w:rPr>
        <w:t>.</w:t>
      </w:r>
      <w:r w:rsidR="001873FF" w:rsidRPr="00666781">
        <w:rPr>
          <w:rFonts w:eastAsia="Arial" w:cs="Arial"/>
          <w:i/>
        </w:rPr>
        <w:t xml:space="preserve"> </w:t>
      </w:r>
    </w:p>
    <w:p w14:paraId="3D918830" w14:textId="77777777" w:rsidR="00171F24" w:rsidRDefault="0061090E" w:rsidP="00171F24">
      <w:pPr>
        <w:pStyle w:val="Proposal"/>
        <w:tabs>
          <w:tab w:val="num" w:pos="2438"/>
        </w:tabs>
        <w:overflowPunct/>
        <w:autoSpaceDE/>
        <w:autoSpaceDN/>
        <w:adjustRightInd/>
        <w:spacing w:line="259" w:lineRule="auto"/>
        <w:textAlignment w:val="auto"/>
      </w:pPr>
      <w:bookmarkStart w:id="31" w:name="_Toc16871138"/>
      <w:r w:rsidRPr="00DD6348">
        <w:rPr>
          <w:rFonts w:eastAsia="Arial" w:cs="Arial"/>
        </w:rPr>
        <w:t xml:space="preserve">For sidelink </w:t>
      </w:r>
      <w:r w:rsidR="00C56DEC" w:rsidRPr="00DD6348">
        <w:rPr>
          <w:rFonts w:eastAsia="Arial" w:cs="Arial"/>
        </w:rPr>
        <w:t>group</w:t>
      </w:r>
      <w:r w:rsidRPr="00DD6348">
        <w:rPr>
          <w:rFonts w:eastAsia="Arial" w:cs="Arial"/>
        </w:rPr>
        <w:t>cast,</w:t>
      </w:r>
      <w:r w:rsidR="008E2B97">
        <w:t xml:space="preserve"> </w:t>
      </w:r>
      <w:r w:rsidRPr="008E2B97">
        <w:rPr>
          <w:rFonts w:eastAsia="Arial" w:cs="Arial"/>
        </w:rPr>
        <w:t>PSFCH resource (RB, code) = function (PSSCH subchannel, TX UE’s L1 source ID, decoding outcome</w:t>
      </w:r>
      <w:r w:rsidR="002E17EF" w:rsidRPr="008E2B97">
        <w:rPr>
          <w:rFonts w:eastAsia="Arial" w:cs="Arial"/>
        </w:rPr>
        <w:t>, RX UE’s source ID</w:t>
      </w:r>
      <w:r w:rsidRPr="008E2B97">
        <w:rPr>
          <w:rFonts w:eastAsia="Arial" w:cs="Arial"/>
        </w:rPr>
        <w:t>).</w:t>
      </w:r>
      <w:bookmarkEnd w:id="31"/>
    </w:p>
    <w:p w14:paraId="7AD71752" w14:textId="77777777" w:rsidR="00171F24" w:rsidRDefault="0061090E" w:rsidP="00171F24">
      <w:pPr>
        <w:pStyle w:val="Proposal"/>
        <w:numPr>
          <w:ilvl w:val="1"/>
          <w:numId w:val="2"/>
        </w:numPr>
        <w:overflowPunct/>
        <w:autoSpaceDE/>
        <w:autoSpaceDN/>
        <w:adjustRightInd/>
        <w:spacing w:line="259" w:lineRule="auto"/>
        <w:textAlignment w:val="auto"/>
      </w:pPr>
      <w:bookmarkStart w:id="32" w:name="_Toc16871139"/>
      <w:r>
        <w:t>The used RB is confined within the subchannel of the associated PSSCH transmission.</w:t>
      </w:r>
      <w:bookmarkEnd w:id="32"/>
    </w:p>
    <w:p w14:paraId="4E05985C" w14:textId="77777777" w:rsidR="00171F24" w:rsidRDefault="0061090E" w:rsidP="00171F24">
      <w:pPr>
        <w:pStyle w:val="Proposal"/>
        <w:numPr>
          <w:ilvl w:val="1"/>
          <w:numId w:val="2"/>
        </w:numPr>
        <w:overflowPunct/>
        <w:autoSpaceDE/>
        <w:autoSpaceDN/>
        <w:adjustRightInd/>
        <w:spacing w:line="259" w:lineRule="auto"/>
        <w:textAlignment w:val="auto"/>
      </w:pPr>
      <w:bookmarkStart w:id="33" w:name="_Toc16871140"/>
      <w:r>
        <w:t>ACK and NACK transmissions are FDM multiplexed.</w:t>
      </w:r>
      <w:bookmarkEnd w:id="33"/>
    </w:p>
    <w:p w14:paraId="6365BE77" w14:textId="77777777" w:rsidR="00171F24" w:rsidRDefault="0061090E" w:rsidP="00171F24">
      <w:pPr>
        <w:pStyle w:val="Proposal"/>
        <w:numPr>
          <w:ilvl w:val="1"/>
          <w:numId w:val="2"/>
        </w:numPr>
        <w:overflowPunct/>
        <w:autoSpaceDE/>
        <w:autoSpaceDN/>
        <w:adjustRightInd/>
        <w:spacing w:line="259" w:lineRule="auto"/>
        <w:textAlignment w:val="auto"/>
      </w:pPr>
      <w:bookmarkStart w:id="34" w:name="_Toc16871141"/>
      <w:r>
        <w:t xml:space="preserve">The </w:t>
      </w:r>
      <w:r w:rsidR="002E17EF">
        <w:t xml:space="preserve">base sequence of the </w:t>
      </w:r>
      <w:r>
        <w:t>used code</w:t>
      </w:r>
      <w:r w:rsidR="005E2EE6">
        <w:t>s</w:t>
      </w:r>
      <w:r>
        <w:t xml:space="preserve"> is selected by TX UE’s L1 source ID.</w:t>
      </w:r>
      <w:bookmarkEnd w:id="34"/>
    </w:p>
    <w:p w14:paraId="0B87B7F2" w14:textId="2A56EA42" w:rsidR="0061090E" w:rsidRPr="0027748E" w:rsidRDefault="002E17EF" w:rsidP="00171F24">
      <w:pPr>
        <w:pStyle w:val="Proposal"/>
        <w:numPr>
          <w:ilvl w:val="1"/>
          <w:numId w:val="2"/>
        </w:numPr>
        <w:overflowPunct/>
        <w:autoSpaceDE/>
        <w:autoSpaceDN/>
        <w:adjustRightInd/>
        <w:spacing w:line="259" w:lineRule="auto"/>
        <w:textAlignment w:val="auto"/>
      </w:pPr>
      <w:bookmarkStart w:id="35" w:name="_Toc16871142"/>
      <w:r>
        <w:t xml:space="preserve">The </w:t>
      </w:r>
      <w:r w:rsidR="005E2EE6">
        <w:t xml:space="preserve">cyclic shift </w:t>
      </w:r>
      <w:r w:rsidR="00DD6348">
        <w:t>applied to the base sequence is selected by RX UE’s ID.</w:t>
      </w:r>
      <w:bookmarkEnd w:id="35"/>
      <w:r w:rsidR="005E2EE6">
        <w:t xml:space="preserve"> </w:t>
      </w:r>
      <w:r w:rsidR="0061090E">
        <w:t xml:space="preserve"> </w:t>
      </w:r>
    </w:p>
    <w:p w14:paraId="7C8235D9" w14:textId="468A7BAB" w:rsidR="000F3909" w:rsidRPr="0062150D" w:rsidRDefault="00265B2B" w:rsidP="000F3909">
      <w:pPr>
        <w:jc w:val="both"/>
        <w:rPr>
          <w:rFonts w:cs="Arial"/>
        </w:rPr>
      </w:pPr>
      <w:r w:rsidRPr="0062150D">
        <w:rPr>
          <w:rFonts w:eastAsia="Arial" w:cs="Arial"/>
        </w:rPr>
        <w:t>From RAN1#96bis, there are some FFS points on how groupcast receivers share PSFCH for both option 1 and option 2.</w:t>
      </w:r>
      <w:r w:rsidR="000F3909">
        <w:rPr>
          <w:rFonts w:eastAsia="Arial" w:cs="Arial"/>
        </w:rPr>
        <w:t xml:space="preserve"> </w:t>
      </w:r>
      <w:r w:rsidR="000F3909" w:rsidRPr="0062150D">
        <w:rPr>
          <w:rFonts w:cs="Arial"/>
        </w:rPr>
        <w:t xml:space="preserve">we think it can be beneficial that a subset of them share one PSFCH resource for ACK/NACK. </w:t>
      </w:r>
      <w:r w:rsidR="000F3909" w:rsidRPr="0062150D">
        <w:rPr>
          <w:rFonts w:cs="Arial"/>
        </w:rPr>
        <w:lastRenderedPageBreak/>
        <w:t>Selection of the subset depends on their locations, i.e., their respective Tx-Rx distances. For example, in</w:t>
      </w:r>
      <w:r w:rsidR="00A15EA1">
        <w:rPr>
          <w:rFonts w:cs="Arial"/>
        </w:rPr>
        <w:t xml:space="preserve"> </w:t>
      </w:r>
      <w:r w:rsidR="00A15EA1">
        <w:rPr>
          <w:rFonts w:cs="Arial"/>
        </w:rPr>
        <w:fldChar w:fldCharType="begin"/>
      </w:r>
      <w:r w:rsidR="00A15EA1">
        <w:rPr>
          <w:rFonts w:cs="Arial"/>
        </w:rPr>
        <w:instrText xml:space="preserve"> REF _Ref14276749 \h </w:instrText>
      </w:r>
      <w:r w:rsidR="00A15EA1">
        <w:rPr>
          <w:rFonts w:cs="Arial"/>
        </w:rPr>
      </w:r>
      <w:r w:rsidR="00A15EA1">
        <w:rPr>
          <w:rFonts w:cs="Arial"/>
        </w:rPr>
        <w:fldChar w:fldCharType="separate"/>
      </w:r>
      <w:r w:rsidR="000526E5" w:rsidRPr="0062150D">
        <w:t xml:space="preserve">Figure </w:t>
      </w:r>
      <w:r w:rsidR="000526E5">
        <w:rPr>
          <w:noProof/>
        </w:rPr>
        <w:t>1</w:t>
      </w:r>
      <w:r w:rsidR="00A15EA1">
        <w:rPr>
          <w:rFonts w:cs="Arial"/>
        </w:rPr>
        <w:fldChar w:fldCharType="end"/>
      </w:r>
      <w:r w:rsidR="000F3909" w:rsidRPr="0062150D">
        <w:rPr>
          <w:rFonts w:cs="Arial"/>
        </w:rPr>
        <w:t xml:space="preserve">, the UEs belonging to Range d1 send NACK on PSFCH resource 1; the UEs belong to Range d2 send NACK on PSFCH resource 2; the UEs belong to Range d3 send NACK on PSFCH resource 3. </w:t>
      </w:r>
    </w:p>
    <w:p w14:paraId="2A58CC08" w14:textId="77777777" w:rsidR="000F3909" w:rsidRDefault="000F3909" w:rsidP="000F3909">
      <w:pPr>
        <w:jc w:val="center"/>
      </w:pPr>
      <w:r>
        <w:rPr>
          <w:noProof/>
        </w:rPr>
        <w:drawing>
          <wp:inline distT="0" distB="0" distL="0" distR="0" wp14:anchorId="3CF4FE63" wp14:editId="1DCFFD26">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p>
    <w:p w14:paraId="2B980EAC" w14:textId="2A9ADE38" w:rsidR="000F3909" w:rsidRPr="0062150D" w:rsidRDefault="000F3909" w:rsidP="000F3909">
      <w:pPr>
        <w:pStyle w:val="Caption"/>
        <w:jc w:val="center"/>
      </w:pPr>
      <w:bookmarkStart w:id="36" w:name="_Ref14276749"/>
      <w:bookmarkStart w:id="37" w:name="_Ref14276741"/>
      <w:r w:rsidRPr="0062150D">
        <w:t xml:space="preserve">Figure </w:t>
      </w:r>
      <w:r>
        <w:rPr>
          <w:noProof/>
        </w:rPr>
        <w:fldChar w:fldCharType="begin"/>
      </w:r>
      <w:r w:rsidRPr="0062150D">
        <w:instrText xml:space="preserve"> SEQ Figure \* ARABIC </w:instrText>
      </w:r>
      <w:r>
        <w:rPr>
          <w:noProof/>
        </w:rPr>
        <w:fldChar w:fldCharType="separate"/>
      </w:r>
      <w:r w:rsidR="000526E5">
        <w:rPr>
          <w:noProof/>
        </w:rPr>
        <w:t>1</w:t>
      </w:r>
      <w:r>
        <w:rPr>
          <w:noProof/>
        </w:rPr>
        <w:fldChar w:fldCharType="end"/>
      </w:r>
      <w:bookmarkEnd w:id="36"/>
      <w:r w:rsidRPr="0062150D">
        <w:t xml:space="preserve">. A subset of Rx UEs </w:t>
      </w:r>
      <w:proofErr w:type="gramStart"/>
      <w:r w:rsidRPr="0062150D">
        <w:t>share</w:t>
      </w:r>
      <w:proofErr w:type="gramEnd"/>
      <w:r w:rsidRPr="0062150D">
        <w:t xml:space="preserve"> one PSFCH resource, where the subset selection depends on Rx UEs’ locations</w:t>
      </w:r>
      <w:bookmarkEnd w:id="37"/>
    </w:p>
    <w:p w14:paraId="0377A611" w14:textId="77777777" w:rsidR="000F3909" w:rsidRPr="0062150D" w:rsidRDefault="000F3909" w:rsidP="00BA368B">
      <w:pPr>
        <w:pStyle w:val="Observation"/>
      </w:pPr>
      <w:bookmarkStart w:id="38" w:name="_Toc7704260"/>
      <w:bookmarkStart w:id="39" w:name="_Toc7810432"/>
      <w:bookmarkStart w:id="40" w:name="_Toc16871161"/>
      <w:r w:rsidRPr="0062150D">
        <w:t>For some scenarios, it can be beneficial to divided groupcast Rx UEs into subsets depending on their distances to the Tx UE. The different subsets use different PSFCH resources for sending HARQ feedbacks.</w:t>
      </w:r>
      <w:bookmarkEnd w:id="38"/>
      <w:bookmarkEnd w:id="39"/>
      <w:bookmarkEnd w:id="40"/>
    </w:p>
    <w:p w14:paraId="202A9BE4" w14:textId="19FB9CBA" w:rsidR="000F3909" w:rsidRPr="0062150D" w:rsidRDefault="000F3909" w:rsidP="000F3909">
      <w:pPr>
        <w:jc w:val="both"/>
        <w:rPr>
          <w:rFonts w:eastAsia="Arial" w:cs="Arial"/>
        </w:rPr>
      </w:pPr>
      <w:r w:rsidRPr="0062150D">
        <w:rPr>
          <w:rFonts w:eastAsia="Arial" w:cs="Arial"/>
        </w:rPr>
        <w:t>As analy</w:t>
      </w:r>
      <w:r>
        <w:rPr>
          <w:rFonts w:eastAsia="Arial" w:cs="Arial"/>
        </w:rPr>
        <w:t>s</w:t>
      </w:r>
      <w:r w:rsidRPr="0062150D">
        <w:rPr>
          <w:rFonts w:eastAsia="Arial" w:cs="Arial"/>
        </w:rPr>
        <w:t xml:space="preserve">ed above, it is useful to support a subset of receiver UEs share a PSFCH for both option 1 and option 2. It can be that, either only the subset of UEs send HARQ feedback, or more than one subset of UEs transmit HARQ feedback on different PSFCH resources. </w:t>
      </w:r>
      <w:proofErr w:type="gramStart"/>
      <w:r w:rsidRPr="0062150D">
        <w:rPr>
          <w:rFonts w:eastAsia="Arial" w:cs="Arial"/>
        </w:rPr>
        <w:t>In particular, for</w:t>
      </w:r>
      <w:proofErr w:type="gramEnd"/>
      <w:r w:rsidRPr="0062150D">
        <w:rPr>
          <w:rFonts w:eastAsia="Arial" w:cs="Arial"/>
        </w:rPr>
        <w:t xml:space="preserve"> option 2, when there are larger number of receivers in a group, the consumed PSFCH resources will be too much if each receiver UE uses a separate PSFCH for HARQ ACK/NACK. It will degrade the performance of the whole system. Note that the PSFCH resources need to be shared by all the UEs in the system. Therefore, in this case, we should limit ACK and NACK feedbacks to a set of specific resources. For instance, for one SL groupcast connection, one PSFCH resource is used for all the ACK transmissions and another PSFCH resource is used for all the NACK transmissions. </w:t>
      </w:r>
      <w:r w:rsidR="00B7165B">
        <w:rPr>
          <w:rFonts w:eastAsia="Arial" w:cs="Arial"/>
        </w:rPr>
        <w:t xml:space="preserve">Furthermore, </w:t>
      </w:r>
      <w:r w:rsidR="00AE48F7">
        <w:rPr>
          <w:rFonts w:eastAsia="Arial" w:cs="Arial"/>
        </w:rPr>
        <w:t>a subset of receiving UEs sharing a PSFCH</w:t>
      </w:r>
      <w:r w:rsidR="003B02C3">
        <w:rPr>
          <w:rFonts w:eastAsia="Arial" w:cs="Arial"/>
        </w:rPr>
        <w:t>, e.g., depending on</w:t>
      </w:r>
      <w:r w:rsidR="00617CFA">
        <w:rPr>
          <w:rFonts w:eastAsia="Arial" w:cs="Arial"/>
        </w:rPr>
        <w:t xml:space="preserve"> their distances with the transmitter UE as illustrated in </w:t>
      </w:r>
      <w:r w:rsidR="00617CFA">
        <w:rPr>
          <w:rFonts w:eastAsia="Arial" w:cs="Arial"/>
        </w:rPr>
        <w:fldChar w:fldCharType="begin"/>
      </w:r>
      <w:r w:rsidR="00617CFA">
        <w:rPr>
          <w:rFonts w:eastAsia="Arial" w:cs="Arial"/>
        </w:rPr>
        <w:instrText xml:space="preserve"> REF _Ref14276749 \h </w:instrText>
      </w:r>
      <w:r w:rsidR="00617CFA">
        <w:rPr>
          <w:rFonts w:eastAsia="Arial" w:cs="Arial"/>
        </w:rPr>
      </w:r>
      <w:r w:rsidR="00617CFA">
        <w:rPr>
          <w:rFonts w:eastAsia="Arial" w:cs="Arial"/>
        </w:rPr>
        <w:fldChar w:fldCharType="separate"/>
      </w:r>
      <w:r w:rsidR="000526E5" w:rsidRPr="0062150D">
        <w:t xml:space="preserve">Figure </w:t>
      </w:r>
      <w:r w:rsidR="000526E5">
        <w:rPr>
          <w:noProof/>
        </w:rPr>
        <w:t>1</w:t>
      </w:r>
      <w:r w:rsidR="00617CFA">
        <w:rPr>
          <w:rFonts w:eastAsia="Arial" w:cs="Arial"/>
        </w:rPr>
        <w:fldChar w:fldCharType="end"/>
      </w:r>
      <w:r w:rsidR="0086105D">
        <w:rPr>
          <w:rFonts w:eastAsia="Arial" w:cs="Arial"/>
        </w:rPr>
        <w:t xml:space="preserve">, is beneficial </w:t>
      </w:r>
      <w:r w:rsidR="00F27736">
        <w:rPr>
          <w:rFonts w:eastAsia="Arial" w:cs="Arial"/>
        </w:rPr>
        <w:t>for</w:t>
      </w:r>
      <w:r w:rsidR="0086105D">
        <w:rPr>
          <w:rFonts w:eastAsia="Arial" w:cs="Arial"/>
        </w:rPr>
        <w:t xml:space="preserve"> outer-loop link adaptation as well. In this way,</w:t>
      </w:r>
      <w:r w:rsidR="002B6161">
        <w:rPr>
          <w:rFonts w:eastAsia="Arial" w:cs="Arial"/>
        </w:rPr>
        <w:t xml:space="preserve"> the transmitter UE has a better view </w:t>
      </w:r>
      <w:r w:rsidR="00B50272">
        <w:rPr>
          <w:rFonts w:eastAsia="Arial" w:cs="Arial"/>
        </w:rPr>
        <w:t>about how far its</w:t>
      </w:r>
      <w:r w:rsidR="00DE2BC8">
        <w:rPr>
          <w:rFonts w:eastAsia="Arial" w:cs="Arial"/>
        </w:rPr>
        <w:t xml:space="preserve"> transmission can reach.</w:t>
      </w:r>
      <w:r w:rsidR="0086105D">
        <w:rPr>
          <w:rFonts w:eastAsia="Arial" w:cs="Arial"/>
        </w:rPr>
        <w:t xml:space="preserve"> </w:t>
      </w:r>
    </w:p>
    <w:p w14:paraId="1DAB38C5" w14:textId="77777777" w:rsidR="000F3909" w:rsidRPr="0062150D" w:rsidRDefault="000F3909" w:rsidP="000F3909">
      <w:pPr>
        <w:pStyle w:val="Proposal"/>
        <w:tabs>
          <w:tab w:val="num" w:pos="2438"/>
        </w:tabs>
        <w:overflowPunct/>
        <w:autoSpaceDE/>
        <w:autoSpaceDN/>
        <w:adjustRightInd/>
        <w:spacing w:line="259" w:lineRule="auto"/>
        <w:textAlignment w:val="auto"/>
      </w:pPr>
      <w:bookmarkStart w:id="41" w:name="_Toc7704272"/>
      <w:bookmarkStart w:id="42" w:name="_Toc7810444"/>
      <w:bookmarkStart w:id="43" w:name="_Toc16871143"/>
      <w:r w:rsidRPr="0062150D">
        <w:t>For groupcast option 1, support that a subset of the receiver UEs share a PSFCH.</w:t>
      </w:r>
      <w:bookmarkEnd w:id="41"/>
      <w:bookmarkEnd w:id="42"/>
      <w:bookmarkEnd w:id="43"/>
      <w:r w:rsidRPr="0062150D">
        <w:t xml:space="preserve"> </w:t>
      </w:r>
    </w:p>
    <w:p w14:paraId="5E49C020" w14:textId="0436A5D5" w:rsidR="001873FF" w:rsidRPr="00394877" w:rsidRDefault="000F3909" w:rsidP="004204A6">
      <w:pPr>
        <w:pStyle w:val="Proposal"/>
        <w:tabs>
          <w:tab w:val="num" w:pos="2438"/>
        </w:tabs>
        <w:overflowPunct/>
        <w:autoSpaceDE/>
        <w:autoSpaceDN/>
        <w:adjustRightInd/>
        <w:spacing w:line="259" w:lineRule="auto"/>
        <w:textAlignment w:val="auto"/>
      </w:pPr>
      <w:bookmarkStart w:id="44" w:name="_Toc7704273"/>
      <w:bookmarkStart w:id="45" w:name="_Toc7810445"/>
      <w:bookmarkStart w:id="46" w:name="_Toc16871144"/>
      <w:r w:rsidRPr="0062150D">
        <w:t>For groupcast option 2, support that all or a subset of receiver UEs share a PSFCH for ACK transmission and another PSFCH for NACK transmission.</w:t>
      </w:r>
      <w:bookmarkEnd w:id="44"/>
      <w:bookmarkEnd w:id="45"/>
      <w:bookmarkEnd w:id="46"/>
    </w:p>
    <w:p w14:paraId="4F3119F4" w14:textId="77777777" w:rsidR="00D32220" w:rsidRPr="00E043C8" w:rsidRDefault="00D32220" w:rsidP="00D32220">
      <w:pPr>
        <w:jc w:val="both"/>
        <w:rPr>
          <w:rFonts w:cs="Arial"/>
        </w:rPr>
      </w:pPr>
      <w:r>
        <w:rPr>
          <w:rFonts w:cs="Arial"/>
        </w:rPr>
        <w:t>In addition</w:t>
      </w:r>
      <w:r w:rsidRPr="0062150D">
        <w:rPr>
          <w:rFonts w:cs="Arial"/>
        </w:rPr>
        <w:t xml:space="preserve">, there were discussions in mixing option 1 and option 2 based on congestion. In our view, such optimization is unnecessary and would require a separate RRC configuration for each UE belonging to a same group. In case of congested network, limitation on PSFCH resources can be avoided by sharing same PSFCH resource among a subset of UEs belonging to the group. </w:t>
      </w:r>
    </w:p>
    <w:p w14:paraId="29BD785D" w14:textId="29691CBB" w:rsidR="00D32220" w:rsidRPr="0062150D" w:rsidRDefault="00D32220" w:rsidP="00D32220">
      <w:pPr>
        <w:pStyle w:val="Proposal"/>
        <w:tabs>
          <w:tab w:val="num" w:pos="2438"/>
        </w:tabs>
        <w:overflowPunct/>
        <w:autoSpaceDE/>
        <w:autoSpaceDN/>
        <w:adjustRightInd/>
        <w:spacing w:line="259" w:lineRule="auto"/>
        <w:textAlignment w:val="auto"/>
      </w:pPr>
      <w:bookmarkStart w:id="47" w:name="_Toc7704274"/>
      <w:bookmarkStart w:id="48" w:name="_Toc7810446"/>
      <w:bookmarkStart w:id="49" w:name="_Toc16871145"/>
      <w:r w:rsidRPr="0062150D">
        <w:t>NR</w:t>
      </w:r>
      <w:r w:rsidR="005E1F16">
        <w:t xml:space="preserve"> SL</w:t>
      </w:r>
      <w:r w:rsidRPr="0062150D">
        <w:t xml:space="preserve"> does not support a mixture of option 1 and option 2 for groupcast transmissions.</w:t>
      </w:r>
      <w:bookmarkEnd w:id="47"/>
      <w:bookmarkEnd w:id="48"/>
      <w:bookmarkEnd w:id="49"/>
      <w:r w:rsidRPr="0062150D">
        <w:t xml:space="preserve"> </w:t>
      </w:r>
    </w:p>
    <w:p w14:paraId="64BF4FA4" w14:textId="77777777" w:rsidR="00D32220" w:rsidRPr="0062150D" w:rsidRDefault="00D32220" w:rsidP="00D32220">
      <w:pPr>
        <w:jc w:val="both"/>
        <w:rPr>
          <w:rFonts w:eastAsia="Arial" w:cs="Arial"/>
        </w:rPr>
      </w:pPr>
      <w:r w:rsidRPr="0062150D">
        <w:rPr>
          <w:rFonts w:eastAsia="Arial" w:cs="Arial"/>
        </w:rPr>
        <w:t xml:space="preserve">Moreover, in our view, having all UEs in the group request HARQ retransmission in case of failed decoded degrades the performance from system perspective. Therefore, restrictions on the retransmissions themselves may be considered for both HARQ options. One such criteria is to pre-define thresholds for HARQ ACK or NACK. For instance, a UE retransmits the packet only if total number of HARQ NACKs received are above the threshold or a UE does not retransmit the packet if certain number of HARQ ACKs are received.  </w:t>
      </w:r>
      <w:bookmarkStart w:id="50" w:name="_Toc4541719"/>
      <w:bookmarkStart w:id="51" w:name="_Toc1120565"/>
      <w:bookmarkStart w:id="52" w:name="_Toc5119267"/>
      <w:bookmarkEnd w:id="50"/>
    </w:p>
    <w:p w14:paraId="1A5F27D6" w14:textId="77777777" w:rsidR="00D32220" w:rsidRPr="000C22A4" w:rsidRDefault="00D32220" w:rsidP="00D32220">
      <w:pPr>
        <w:pStyle w:val="Proposal"/>
        <w:tabs>
          <w:tab w:val="num" w:pos="2438"/>
        </w:tabs>
        <w:overflowPunct/>
        <w:autoSpaceDE/>
        <w:autoSpaceDN/>
        <w:adjustRightInd/>
        <w:spacing w:line="259" w:lineRule="auto"/>
        <w:textAlignment w:val="auto"/>
        <w:rPr>
          <w:rFonts w:cs="Arial"/>
        </w:rPr>
      </w:pPr>
      <w:bookmarkStart w:id="53" w:name="_Toc7704275"/>
      <w:bookmarkStart w:id="54" w:name="_Toc7810447"/>
      <w:bookmarkStart w:id="55" w:name="_Toc16871146"/>
      <w:r w:rsidRPr="0062150D">
        <w:t>Restrictions on the retransmissions of TB are applied for both HARQ options for the purpose of congestion control.</w:t>
      </w:r>
      <w:bookmarkEnd w:id="51"/>
      <w:bookmarkEnd w:id="52"/>
      <w:bookmarkEnd w:id="53"/>
      <w:bookmarkEnd w:id="54"/>
      <w:bookmarkEnd w:id="55"/>
    </w:p>
    <w:p w14:paraId="144B546A" w14:textId="77777777" w:rsidR="0008724B" w:rsidRDefault="00FA2918" w:rsidP="00D32220">
      <w:pPr>
        <w:jc w:val="both"/>
        <w:rPr>
          <w:rFonts w:eastAsia="Arial" w:cs="Arial"/>
        </w:rPr>
      </w:pPr>
      <w:r>
        <w:rPr>
          <w:rFonts w:eastAsia="Arial" w:cs="Arial"/>
        </w:rPr>
        <w:t xml:space="preserve">In </w:t>
      </w:r>
      <w:r w:rsidRPr="0062150D">
        <w:rPr>
          <w:rFonts w:eastAsia="Arial" w:cs="Arial"/>
        </w:rPr>
        <w:t>RAN1#9</w:t>
      </w:r>
      <w:r>
        <w:rPr>
          <w:rFonts w:eastAsia="Arial" w:cs="Arial"/>
        </w:rPr>
        <w:t>7</w:t>
      </w:r>
      <w:r w:rsidRPr="0062150D">
        <w:rPr>
          <w:rFonts w:eastAsia="Arial" w:cs="Arial"/>
        </w:rPr>
        <w:t>,</w:t>
      </w:r>
      <w:r>
        <w:rPr>
          <w:rFonts w:eastAsia="Arial" w:cs="Arial"/>
        </w:rPr>
        <w:t xml:space="preserve"> </w:t>
      </w:r>
      <w:r w:rsidR="00A92DFD">
        <w:rPr>
          <w:rFonts w:eastAsia="Arial" w:cs="Arial"/>
        </w:rPr>
        <w:t xml:space="preserve">there were also discussions about </w:t>
      </w:r>
      <w:r w:rsidR="009B3580">
        <w:rPr>
          <w:rFonts w:eastAsia="Arial" w:cs="Arial"/>
        </w:rPr>
        <w:t>how to handle</w:t>
      </w:r>
      <w:r w:rsidR="00A92DFD">
        <w:rPr>
          <w:rFonts w:eastAsia="Arial" w:cs="Arial"/>
        </w:rPr>
        <w:t xml:space="preserve"> the three cases of PSFCH transmission and reception, including PSFCH TX/RX overlap, PSFCH TX to multiple UEs, and PSFCH TX with multiple HARQ feedback to the same UE.</w:t>
      </w:r>
      <w:r w:rsidR="005D7025">
        <w:rPr>
          <w:rFonts w:eastAsia="Arial" w:cs="Arial"/>
        </w:rPr>
        <w:t xml:space="preserve"> In our view, a simple and unified solution </w:t>
      </w:r>
      <w:r w:rsidR="007823D0">
        <w:rPr>
          <w:rFonts w:eastAsia="Arial" w:cs="Arial"/>
        </w:rPr>
        <w:t xml:space="preserve">is prioritization. More specifically, </w:t>
      </w:r>
      <w:r w:rsidR="00545A59">
        <w:rPr>
          <w:rFonts w:eastAsia="Arial" w:cs="Arial"/>
        </w:rPr>
        <w:t xml:space="preserve">a RX UE </w:t>
      </w:r>
      <w:r w:rsidR="00207F4D">
        <w:rPr>
          <w:rFonts w:eastAsia="Arial" w:cs="Arial"/>
        </w:rPr>
        <w:t xml:space="preserve">can </w:t>
      </w:r>
      <w:r w:rsidR="00545A59">
        <w:rPr>
          <w:rFonts w:eastAsia="Arial" w:cs="Arial"/>
        </w:rPr>
        <w:t xml:space="preserve">prioritize </w:t>
      </w:r>
      <w:r w:rsidR="003A756D">
        <w:rPr>
          <w:rFonts w:eastAsia="Arial" w:cs="Arial"/>
        </w:rPr>
        <w:t xml:space="preserve">between </w:t>
      </w:r>
      <w:r w:rsidR="00545A59">
        <w:rPr>
          <w:rFonts w:eastAsia="Arial" w:cs="Arial"/>
        </w:rPr>
        <w:t>PSFCH</w:t>
      </w:r>
      <w:r w:rsidR="00E7568D">
        <w:rPr>
          <w:rFonts w:eastAsia="Arial" w:cs="Arial"/>
        </w:rPr>
        <w:t xml:space="preserve"> TX and RX, </w:t>
      </w:r>
      <w:r w:rsidR="005A7350">
        <w:rPr>
          <w:rFonts w:eastAsia="Arial" w:cs="Arial"/>
        </w:rPr>
        <w:t xml:space="preserve">prioritize </w:t>
      </w:r>
      <w:r w:rsidR="00E7568D">
        <w:rPr>
          <w:rFonts w:eastAsia="Arial" w:cs="Arial"/>
        </w:rPr>
        <w:t>amo</w:t>
      </w:r>
      <w:r w:rsidR="00207F4D">
        <w:rPr>
          <w:rFonts w:eastAsia="Arial" w:cs="Arial"/>
        </w:rPr>
        <w:t xml:space="preserve">ng PSFCH TX to multiple UEs, or </w:t>
      </w:r>
      <w:r w:rsidR="005A7350">
        <w:rPr>
          <w:rFonts w:eastAsia="Arial" w:cs="Arial"/>
        </w:rPr>
        <w:t xml:space="preserve">prioritize </w:t>
      </w:r>
      <w:r w:rsidR="00207F4D">
        <w:rPr>
          <w:rFonts w:eastAsia="Arial" w:cs="Arial"/>
        </w:rPr>
        <w:t>among PSFCH TX with multiple HARQ feedbacks to the same UE</w:t>
      </w:r>
      <w:r w:rsidR="005A7350">
        <w:rPr>
          <w:rFonts w:eastAsia="Arial" w:cs="Arial"/>
        </w:rPr>
        <w:t xml:space="preserve"> based </w:t>
      </w:r>
      <w:r w:rsidR="00C42A06">
        <w:rPr>
          <w:rFonts w:eastAsia="Arial" w:cs="Arial"/>
        </w:rPr>
        <w:t>on (pre-)configured rules</w:t>
      </w:r>
      <w:r w:rsidR="009B3580">
        <w:rPr>
          <w:rFonts w:eastAsia="Arial" w:cs="Arial"/>
        </w:rPr>
        <w:t xml:space="preserve"> </w:t>
      </w:r>
      <w:r w:rsidR="00EF0562">
        <w:rPr>
          <w:rFonts w:eastAsia="Arial" w:cs="Arial"/>
        </w:rPr>
        <w:t xml:space="preserve">which depend on </w:t>
      </w:r>
      <w:r w:rsidR="00EF0562">
        <w:rPr>
          <w:rFonts w:eastAsia="Arial" w:cs="Arial"/>
        </w:rPr>
        <w:lastRenderedPageBreak/>
        <w:t xml:space="preserve">e.g., </w:t>
      </w:r>
      <w:r w:rsidR="00E43EA7">
        <w:rPr>
          <w:rFonts w:eastAsia="Arial" w:cs="Arial"/>
        </w:rPr>
        <w:t>QoS requirements of the corresponding services.</w:t>
      </w:r>
      <w:r w:rsidR="001A1440">
        <w:rPr>
          <w:rFonts w:eastAsia="Arial" w:cs="Arial"/>
        </w:rPr>
        <w:t xml:space="preserve"> Alternat</w:t>
      </w:r>
      <w:r w:rsidR="00ED427F">
        <w:rPr>
          <w:rFonts w:eastAsia="Arial" w:cs="Arial"/>
        </w:rPr>
        <w:t>ively, the prioritization can also be up to UE implementation</w:t>
      </w:r>
      <w:r w:rsidR="0008724B">
        <w:rPr>
          <w:rFonts w:eastAsia="Arial" w:cs="Arial"/>
        </w:rPr>
        <w:t>.</w:t>
      </w:r>
    </w:p>
    <w:p w14:paraId="09E03247" w14:textId="40114DCE" w:rsidR="00ED1668" w:rsidRPr="005F57F0" w:rsidRDefault="00AD1F88" w:rsidP="00747EB6">
      <w:pPr>
        <w:pStyle w:val="Proposal"/>
        <w:overflowPunct/>
        <w:autoSpaceDE/>
        <w:autoSpaceDN/>
        <w:adjustRightInd/>
        <w:spacing w:line="259" w:lineRule="auto"/>
        <w:textAlignment w:val="auto"/>
        <w:rPr>
          <w:rFonts w:eastAsia="Arial"/>
        </w:rPr>
      </w:pPr>
      <w:bookmarkStart w:id="56" w:name="_Toc16871147"/>
      <w:r>
        <w:rPr>
          <w:rFonts w:eastAsia="Arial"/>
        </w:rPr>
        <w:t>Prioritization is applied t</w:t>
      </w:r>
      <w:r w:rsidR="00596E3E">
        <w:rPr>
          <w:rFonts w:eastAsia="Arial"/>
        </w:rPr>
        <w:t xml:space="preserve">o handle the </w:t>
      </w:r>
      <w:r w:rsidR="00FA4A8E">
        <w:rPr>
          <w:rFonts w:eastAsia="Arial"/>
        </w:rPr>
        <w:t>three possible cases of PSFCH transmission and reception</w:t>
      </w:r>
      <w:r>
        <w:rPr>
          <w:rFonts w:eastAsia="Arial" w:cs="Arial"/>
        </w:rPr>
        <w:t>, including PSFCH TX/RX overlap, PSFCH TX to multiple UEs, and PSFCH TX with multiple HARQ feedback to the same UE.</w:t>
      </w:r>
      <w:r w:rsidR="00747EB6">
        <w:rPr>
          <w:rFonts w:eastAsia="Arial"/>
        </w:rPr>
        <w:t xml:space="preserve"> </w:t>
      </w:r>
      <w:r w:rsidR="005A6173">
        <w:rPr>
          <w:rFonts w:eastAsia="Arial"/>
        </w:rPr>
        <w:t>FFS if the prioritization is based on (pre-)configured rules</w:t>
      </w:r>
      <w:r w:rsidR="00EA1928">
        <w:rPr>
          <w:rFonts w:eastAsia="Arial"/>
        </w:rPr>
        <w:t xml:space="preserve"> or up to UE implementation</w:t>
      </w:r>
      <w:r w:rsidR="005F57F0">
        <w:rPr>
          <w:rFonts w:eastAsia="Arial"/>
        </w:rPr>
        <w:t>.</w:t>
      </w:r>
      <w:bookmarkEnd w:id="56"/>
      <w:r w:rsidR="00433CA4">
        <w:rPr>
          <w:rFonts w:eastAsia="Arial"/>
        </w:rPr>
        <w:t xml:space="preserve"> </w:t>
      </w:r>
    </w:p>
    <w:p w14:paraId="607E8D69" w14:textId="17B05E2E" w:rsidR="00565F01" w:rsidRDefault="00565F01" w:rsidP="00565F01">
      <w:pPr>
        <w:pStyle w:val="Heading1"/>
      </w:pPr>
      <w:r>
        <w:t>4</w:t>
      </w:r>
      <w:r>
        <w:tab/>
      </w:r>
      <w:r w:rsidRPr="00565F01">
        <w:rPr>
          <w:rFonts w:eastAsia="Arial" w:cs="Arial"/>
          <w:lang w:val="en-US" w:eastAsia="zh-CN"/>
        </w:rPr>
        <w:t>Sidelink CSI report and sidelink CSI-RS</w:t>
      </w:r>
      <w:r>
        <w:t xml:space="preserve"> </w:t>
      </w:r>
    </w:p>
    <w:p w14:paraId="663E9645" w14:textId="7033A945" w:rsidR="00BA7141" w:rsidRPr="0062150D" w:rsidRDefault="00BA7141" w:rsidP="00BA7141">
      <w:pPr>
        <w:jc w:val="both"/>
        <w:rPr>
          <w:rFonts w:eastAsia="Arial"/>
        </w:rPr>
      </w:pPr>
      <w:r w:rsidRPr="0062150D">
        <w:rPr>
          <w:rFonts w:eastAsia="Arial" w:cs="Arial"/>
        </w:rPr>
        <w:t>In this section, we further discuss the details of CSI acquisition for sidelink unicast, including CSI report and the corresponding sidelink CSI-RS (SCSI-RS). The focus in this paper is on CSI report over SL.</w:t>
      </w:r>
    </w:p>
    <w:p w14:paraId="147D0A26" w14:textId="6A8E9CC6" w:rsidR="00417B83" w:rsidRDefault="00344D4D" w:rsidP="00417B83">
      <w:pPr>
        <w:pStyle w:val="Heading2"/>
      </w:pPr>
      <w:r>
        <w:t>4</w:t>
      </w:r>
      <w:r w:rsidR="00417B83">
        <w:t xml:space="preserve">.1 </w:t>
      </w:r>
      <w:r w:rsidR="00E42D1D">
        <w:tab/>
      </w:r>
      <w:r w:rsidR="00417B83">
        <w:t xml:space="preserve">Sidelink CSI report </w:t>
      </w:r>
      <w:r w:rsidR="00E42D1D">
        <w:t>procedures</w:t>
      </w:r>
    </w:p>
    <w:p w14:paraId="4ECDD034" w14:textId="1AED164B" w:rsidR="00BA7141" w:rsidRPr="008A64E8" w:rsidRDefault="00BA7141" w:rsidP="00BA7141">
      <w:pPr>
        <w:jc w:val="both"/>
        <w:rPr>
          <w:rFonts w:eastAsia="Arial" w:cs="Arial"/>
        </w:rPr>
      </w:pPr>
      <w:r w:rsidRPr="0062150D">
        <w:rPr>
          <w:rFonts w:eastAsia="Arial" w:cs="Arial"/>
        </w:rPr>
        <w:t>As agreed</w:t>
      </w:r>
      <w:r>
        <w:rPr>
          <w:rFonts w:eastAsia="Arial" w:cs="Arial"/>
        </w:rPr>
        <w:t xml:space="preserve"> during SI</w:t>
      </w:r>
      <w:r w:rsidRPr="0062150D">
        <w:rPr>
          <w:rFonts w:eastAsia="Arial" w:cs="Arial"/>
        </w:rPr>
        <w:t>, non-</w:t>
      </w:r>
      <w:proofErr w:type="spellStart"/>
      <w:r w:rsidRPr="0062150D">
        <w:rPr>
          <w:rFonts w:eastAsia="Arial" w:cs="Arial"/>
        </w:rPr>
        <w:t>subband</w:t>
      </w:r>
      <w:proofErr w:type="spellEnd"/>
      <w:r w:rsidRPr="0062150D">
        <w:rPr>
          <w:rFonts w:eastAsia="Arial" w:cs="Arial"/>
        </w:rPr>
        <w:t xml:space="preserve">-based RI and CQI reports will be supported for sidelink unicast. </w:t>
      </w:r>
      <w:r w:rsidRPr="008A64E8">
        <w:rPr>
          <w:rFonts w:eastAsia="Arial" w:cs="Arial"/>
        </w:rPr>
        <w:t xml:space="preserve">In NR </w:t>
      </w:r>
      <w:proofErr w:type="spellStart"/>
      <w:r w:rsidRPr="008A64E8">
        <w:rPr>
          <w:rFonts w:eastAsia="Arial" w:cs="Arial"/>
        </w:rPr>
        <w:t>Uu</w:t>
      </w:r>
      <w:proofErr w:type="spellEnd"/>
      <w:r w:rsidRPr="008A64E8">
        <w:rPr>
          <w:rFonts w:eastAsia="Arial" w:cs="Arial"/>
        </w:rPr>
        <w:t xml:space="preserve"> transmissions, typically one RI value and the associated PMI and/or CQI are reported, where RI represents the maximum possible transmission rank of the measured channel. However, this may not be suitable for V2X applications which have diverse service requirements in terms of data rate and reliability. More specifically, some NR eV2X use cases may target high data rate while others target high reliability. On the other hand, single unicast connection will be established between the transmitter UE and the receiver UE which may carry different V2X services. Accordingly, to satisfy the diverse requirements, some services are interested in multi-layer transmissions while other services are interested in single layer transmissions. However, when the receiver reports CSI parameters, it is typically not aware of the transmitter’s interest, e.g., the transmission requirement. In this case, it is beneficial to report multiple CQI values associated with different RI values respectively, which gives the transmitter the flexibility to select more proper transmission parameters based on its own needs. </w:t>
      </w:r>
      <w:bookmarkStart w:id="57" w:name="_Toc1150514"/>
      <w:bookmarkStart w:id="58" w:name="_Toc5119269"/>
    </w:p>
    <w:p w14:paraId="48B94284" w14:textId="77777777" w:rsidR="00BA7141" w:rsidRPr="008A64E8" w:rsidRDefault="00BA7141" w:rsidP="00BA7141">
      <w:pPr>
        <w:pStyle w:val="Proposal"/>
        <w:tabs>
          <w:tab w:val="num" w:pos="2438"/>
        </w:tabs>
        <w:overflowPunct/>
        <w:autoSpaceDE/>
        <w:autoSpaceDN/>
        <w:adjustRightInd/>
        <w:spacing w:line="259" w:lineRule="auto"/>
        <w:textAlignment w:val="auto"/>
      </w:pPr>
      <w:bookmarkStart w:id="59" w:name="_Toc7704276"/>
      <w:bookmarkStart w:id="60" w:name="_Toc7810449"/>
      <w:bookmarkStart w:id="61" w:name="_Toc16871148"/>
      <w:r w:rsidRPr="008A64E8">
        <w:t>One sidelink CSI report may include multiple CQIs associated with different RIs respectively.</w:t>
      </w:r>
      <w:bookmarkEnd w:id="57"/>
      <w:bookmarkEnd w:id="58"/>
      <w:bookmarkEnd w:id="59"/>
      <w:bookmarkEnd w:id="60"/>
      <w:bookmarkEnd w:id="61"/>
    </w:p>
    <w:p w14:paraId="0639A3D0" w14:textId="3D47A5CC" w:rsidR="00BA7141" w:rsidRPr="0062150D" w:rsidRDefault="00BA7141" w:rsidP="00BA7141">
      <w:pPr>
        <w:jc w:val="both"/>
        <w:rPr>
          <w:rFonts w:cs="Arial"/>
        </w:rPr>
      </w:pPr>
      <w:bookmarkStart w:id="62" w:name="_Toc7391395"/>
      <w:r w:rsidRPr="0062150D">
        <w:rPr>
          <w:rFonts w:cs="Arial"/>
        </w:rPr>
        <w:t xml:space="preserve">Since it has been agreed to support up to two antenna ports, the rank of a PSSCH transmission can only be either 1 or 2. </w:t>
      </w:r>
      <w:r w:rsidRPr="00C01D44">
        <w:rPr>
          <w:rFonts w:cs="Arial"/>
        </w:rPr>
        <w:t xml:space="preserve">Hence, 1 bit is enough for RI. </w:t>
      </w:r>
      <w:r w:rsidRPr="0062150D">
        <w:rPr>
          <w:rFonts w:cs="Arial"/>
        </w:rPr>
        <w:t xml:space="preserve">Moreover, for one CQI report, within a given CQI table, 4 bits are enough as in NR </w:t>
      </w:r>
      <w:proofErr w:type="spellStart"/>
      <w:r w:rsidRPr="0062150D">
        <w:rPr>
          <w:rFonts w:cs="Arial"/>
        </w:rPr>
        <w:t>Uu</w:t>
      </w:r>
      <w:proofErr w:type="spellEnd"/>
      <w:r w:rsidRPr="0062150D">
        <w:rPr>
          <w:rFonts w:cs="Arial"/>
        </w:rPr>
        <w:t xml:space="preserve">. In this way, SL CSI report size is 5 bits when reporting one RI and its associated CQI. SL CSI report size is </w:t>
      </w:r>
      <w:r w:rsidR="0018283B">
        <w:rPr>
          <w:rFonts w:cs="Arial"/>
        </w:rPr>
        <w:t>9</w:t>
      </w:r>
      <w:r w:rsidRPr="0062150D">
        <w:rPr>
          <w:rFonts w:cs="Arial"/>
        </w:rPr>
        <w:t xml:space="preserve"> bits when report two CQIs associated with rank-1 and rank-2 respectively.</w:t>
      </w:r>
      <w:bookmarkEnd w:id="62"/>
    </w:p>
    <w:p w14:paraId="6C4E1E94" w14:textId="08E7C815" w:rsidR="00BA7141" w:rsidRPr="0062150D" w:rsidRDefault="00BA7141" w:rsidP="00BA7141">
      <w:pPr>
        <w:pStyle w:val="Observation"/>
        <w:overflowPunct/>
        <w:autoSpaceDE/>
        <w:autoSpaceDN/>
        <w:adjustRightInd/>
        <w:spacing w:line="259" w:lineRule="auto"/>
        <w:textAlignment w:val="auto"/>
        <w:rPr>
          <w:rFonts w:cs="Arial"/>
        </w:rPr>
      </w:pPr>
      <w:bookmarkStart w:id="63" w:name="_Toc7704261"/>
      <w:bookmarkStart w:id="64" w:name="_Toc7810433"/>
      <w:bookmarkStart w:id="65" w:name="_Toc16871162"/>
      <w:r w:rsidRPr="0062150D">
        <w:rPr>
          <w:rFonts w:eastAsia="Arial" w:cs="Arial"/>
        </w:rPr>
        <w:t xml:space="preserve">SL CSI report size is up to </w:t>
      </w:r>
      <w:r w:rsidR="0018283B">
        <w:rPr>
          <w:rFonts w:eastAsia="Arial" w:cs="Arial"/>
        </w:rPr>
        <w:t>9</w:t>
      </w:r>
      <w:r w:rsidRPr="0062150D">
        <w:rPr>
          <w:rFonts w:eastAsia="Arial" w:cs="Arial"/>
        </w:rPr>
        <w:t xml:space="preserve"> bits for NR Rel-16.</w:t>
      </w:r>
      <w:bookmarkEnd w:id="63"/>
      <w:bookmarkEnd w:id="64"/>
      <w:bookmarkEnd w:id="65"/>
    </w:p>
    <w:p w14:paraId="443A6443" w14:textId="002B1FF9" w:rsidR="00BA7141" w:rsidRPr="0062150D" w:rsidRDefault="006206F0" w:rsidP="00BA7141">
      <w:pPr>
        <w:jc w:val="both"/>
        <w:rPr>
          <w:rFonts w:eastAsia="Arial" w:cs="Arial"/>
        </w:rPr>
      </w:pPr>
      <w:r>
        <w:rPr>
          <w:rFonts w:eastAsia="Arial" w:cs="Arial"/>
        </w:rPr>
        <w:t>Furthermore</w:t>
      </w:r>
      <w:r w:rsidR="00DB5096">
        <w:rPr>
          <w:rFonts w:eastAsia="Arial" w:cs="Arial"/>
        </w:rPr>
        <w:t>, i</w:t>
      </w:r>
      <w:r w:rsidR="00BA7141" w:rsidRPr="0062150D">
        <w:rPr>
          <w:rFonts w:eastAsia="Arial" w:cs="Arial"/>
        </w:rPr>
        <w:t xml:space="preserve">t has been clarified in WID </w:t>
      </w:r>
      <w:r w:rsidR="00BA7141" w:rsidRPr="00B60539">
        <w:rPr>
          <w:rFonts w:eastAsia="Arial" w:cs="Arial"/>
        </w:rPr>
        <w:fldChar w:fldCharType="begin"/>
      </w:r>
      <w:r w:rsidR="00BA7141" w:rsidRPr="0062150D">
        <w:rPr>
          <w:rFonts w:eastAsia="Arial" w:cs="Arial"/>
        </w:rPr>
        <w:instrText xml:space="preserve"> REF _Ref4155288 \r \h  \* MERGEFORMAT </w:instrText>
      </w:r>
      <w:r w:rsidR="00BA7141" w:rsidRPr="00B60539">
        <w:rPr>
          <w:rFonts w:eastAsia="Arial" w:cs="Arial"/>
        </w:rPr>
      </w:r>
      <w:r w:rsidR="00BA7141" w:rsidRPr="00B60539">
        <w:rPr>
          <w:rFonts w:eastAsia="Arial" w:cs="Arial"/>
        </w:rPr>
        <w:fldChar w:fldCharType="separate"/>
      </w:r>
      <w:r w:rsidR="000526E5">
        <w:rPr>
          <w:rFonts w:eastAsia="Arial" w:cs="Arial"/>
        </w:rPr>
        <w:t>[1]</w:t>
      </w:r>
      <w:r w:rsidR="00BA7141" w:rsidRPr="00B60539">
        <w:rPr>
          <w:rFonts w:eastAsia="Arial" w:cs="Arial"/>
        </w:rPr>
        <w:fldChar w:fldCharType="end"/>
      </w:r>
      <w:r w:rsidR="00BA7141" w:rsidRPr="0062150D">
        <w:rPr>
          <w:rFonts w:eastAsia="Arial" w:cs="Arial"/>
        </w:rPr>
        <w:t xml:space="preserve"> that for sidelink unicast, CSI is delivered using PSSCH (including PSSCH containing CSI only) using the resource allocation procedure for data transmission. Note that for a single UE, it is possible to have two scenarios: </w:t>
      </w:r>
    </w:p>
    <w:p w14:paraId="0F2530EA" w14:textId="77777777" w:rsidR="00BA7141" w:rsidRPr="00A12620" w:rsidRDefault="00BA7141" w:rsidP="00BA7141">
      <w:pPr>
        <w:pStyle w:val="ListParagraph"/>
        <w:numPr>
          <w:ilvl w:val="0"/>
          <w:numId w:val="30"/>
        </w:numPr>
        <w:overflowPunct/>
        <w:autoSpaceDE/>
        <w:autoSpaceDN/>
        <w:adjustRightInd/>
        <w:spacing w:line="259" w:lineRule="auto"/>
        <w:ind w:left="714" w:hanging="357"/>
        <w:jc w:val="both"/>
        <w:textAlignment w:val="auto"/>
        <w:rPr>
          <w:rFonts w:ascii="Arial" w:eastAsia="Arial" w:hAnsi="Arial" w:cs="Arial"/>
          <w:sz w:val="20"/>
        </w:rPr>
      </w:pPr>
      <w:r w:rsidRPr="00A12620">
        <w:rPr>
          <w:rFonts w:ascii="Arial" w:eastAsia="Arial" w:hAnsi="Arial" w:cs="Arial"/>
          <w:sz w:val="20"/>
        </w:rPr>
        <w:t xml:space="preserve">CSI report only transmission; </w:t>
      </w:r>
    </w:p>
    <w:p w14:paraId="20D23AEE" w14:textId="0D07BF69" w:rsidR="00BA7141" w:rsidRPr="00A12620" w:rsidRDefault="00FF1DE1" w:rsidP="00BA7141">
      <w:pPr>
        <w:pStyle w:val="ListParagraph"/>
        <w:numPr>
          <w:ilvl w:val="0"/>
          <w:numId w:val="30"/>
        </w:numPr>
        <w:overflowPunct/>
        <w:autoSpaceDE/>
        <w:autoSpaceDN/>
        <w:adjustRightInd/>
        <w:spacing w:line="259" w:lineRule="auto"/>
        <w:ind w:left="714" w:hanging="357"/>
        <w:jc w:val="both"/>
        <w:textAlignment w:val="auto"/>
        <w:rPr>
          <w:rFonts w:ascii="Arial" w:eastAsia="Arial" w:hAnsi="Arial" w:cs="Arial"/>
          <w:sz w:val="20"/>
        </w:rPr>
      </w:pPr>
      <w:r>
        <w:rPr>
          <w:rFonts w:ascii="Arial" w:eastAsia="Arial" w:hAnsi="Arial" w:cs="Arial"/>
          <w:sz w:val="20"/>
          <w:lang w:val="sv-SE"/>
        </w:rPr>
        <w:t>S</w:t>
      </w:r>
      <w:r w:rsidRPr="00A12620">
        <w:rPr>
          <w:rFonts w:ascii="Arial" w:eastAsia="Arial" w:hAnsi="Arial" w:cs="Arial"/>
          <w:sz w:val="20"/>
        </w:rPr>
        <w:t>imultaneous</w:t>
      </w:r>
      <w:r w:rsidR="00BA7141" w:rsidRPr="00A12620">
        <w:rPr>
          <w:rFonts w:ascii="Arial" w:eastAsia="Arial" w:hAnsi="Arial" w:cs="Arial"/>
          <w:sz w:val="20"/>
        </w:rPr>
        <w:t xml:space="preserve"> CSI report and data transmissions. </w:t>
      </w:r>
    </w:p>
    <w:p w14:paraId="3C2B7F99" w14:textId="2B0E62BA" w:rsidR="00BA7141" w:rsidRPr="00B60539" w:rsidRDefault="00BA7141" w:rsidP="00BA7141">
      <w:pPr>
        <w:spacing w:before="120"/>
        <w:jc w:val="both"/>
        <w:rPr>
          <w:rFonts w:cs="Arial"/>
        </w:rPr>
      </w:pPr>
      <w:r w:rsidRPr="00B60539">
        <w:rPr>
          <w:rFonts w:cs="Arial"/>
        </w:rPr>
        <w:t xml:space="preserve">In general, there are two ways to carry CSI report over </w:t>
      </w:r>
      <w:r w:rsidR="000467A1">
        <w:rPr>
          <w:rFonts w:cs="Arial"/>
        </w:rPr>
        <w:t>SL</w:t>
      </w:r>
      <w:r w:rsidRPr="00B60539">
        <w:rPr>
          <w:rFonts w:cs="Arial"/>
        </w:rPr>
        <w:t>.</w:t>
      </w:r>
    </w:p>
    <w:p w14:paraId="6BCAE0D4" w14:textId="77777777" w:rsidR="00BA7141" w:rsidRPr="00361844" w:rsidRDefault="00BA7141" w:rsidP="00BA7141">
      <w:pPr>
        <w:pStyle w:val="ListParagraph"/>
        <w:numPr>
          <w:ilvl w:val="0"/>
          <w:numId w:val="32"/>
        </w:numPr>
        <w:overflowPunct/>
        <w:autoSpaceDE/>
        <w:autoSpaceDN/>
        <w:adjustRightInd/>
        <w:spacing w:line="259" w:lineRule="auto"/>
        <w:jc w:val="both"/>
        <w:textAlignment w:val="auto"/>
        <w:rPr>
          <w:rFonts w:ascii="Arial" w:hAnsi="Arial" w:cs="Arial"/>
          <w:sz w:val="20"/>
          <w:lang w:val="en-US"/>
        </w:rPr>
      </w:pPr>
      <w:r w:rsidRPr="00361844">
        <w:rPr>
          <w:rFonts w:ascii="Arial" w:eastAsia="SimSun" w:hAnsi="Arial" w:cs="Arial"/>
          <w:sz w:val="20"/>
          <w:lang w:val="en-US"/>
        </w:rPr>
        <w:t>Option 1:</w:t>
      </w:r>
      <w:r w:rsidRPr="00361844">
        <w:rPr>
          <w:rFonts w:ascii="Arial" w:hAnsi="Arial" w:cs="Arial"/>
          <w:sz w:val="20"/>
          <w:lang w:val="en-US"/>
        </w:rPr>
        <w:t xml:space="preserve"> Carry as a separate MAC CE or an RRC message,</w:t>
      </w:r>
    </w:p>
    <w:p w14:paraId="61201375" w14:textId="77777777" w:rsidR="00BA7141" w:rsidRPr="00361844" w:rsidRDefault="00BA7141" w:rsidP="00BA7141">
      <w:pPr>
        <w:pStyle w:val="ListParagraph"/>
        <w:numPr>
          <w:ilvl w:val="0"/>
          <w:numId w:val="32"/>
        </w:numPr>
        <w:overflowPunct/>
        <w:autoSpaceDE/>
        <w:autoSpaceDN/>
        <w:adjustRightInd/>
        <w:spacing w:line="259" w:lineRule="auto"/>
        <w:jc w:val="both"/>
        <w:textAlignment w:val="auto"/>
        <w:rPr>
          <w:rFonts w:ascii="Arial" w:eastAsia="SimSun" w:hAnsi="Arial" w:cs="Arial"/>
          <w:sz w:val="20"/>
          <w:lang w:val="en-US"/>
        </w:rPr>
      </w:pPr>
      <w:r w:rsidRPr="00361844">
        <w:rPr>
          <w:rFonts w:ascii="Arial" w:hAnsi="Arial" w:cs="Arial"/>
          <w:sz w:val="20"/>
          <w:lang w:val="en-US"/>
        </w:rPr>
        <w:t>Option 2: Piggybacked in PSSCH as the way of carrying UCI over PUSCH.</w:t>
      </w:r>
    </w:p>
    <w:p w14:paraId="269765D1" w14:textId="19534D70" w:rsidR="00BA7141" w:rsidRDefault="00BA7141" w:rsidP="00BA7141">
      <w:pPr>
        <w:spacing w:before="120"/>
        <w:jc w:val="both"/>
        <w:rPr>
          <w:rFonts w:eastAsia="Arial" w:cs="Arial"/>
        </w:rPr>
      </w:pPr>
      <w:r w:rsidRPr="0062150D">
        <w:rPr>
          <w:rFonts w:eastAsia="Arial" w:cs="Arial"/>
        </w:rPr>
        <w:t xml:space="preserve">We see some drawbacks of option 2. First, a proper piggyback design requires a large amount of simulations to evaluate various RE mappings and </w:t>
      </w:r>
      <w:r w:rsidRPr="00B60539">
        <w:rPr>
          <w:rFonts w:eastAsia="Arial" w:cs="Arial"/>
        </w:rPr>
        <w:t>β</w:t>
      </w:r>
      <w:r w:rsidRPr="0062150D">
        <w:rPr>
          <w:rFonts w:eastAsia="Arial" w:cs="Arial"/>
        </w:rPr>
        <w:t xml:space="preserve"> offset values, which is quite challenging given the limited WID time. Second, and more importantly, piggyback solution is not good for forward compatibility, since in a later release we may have more CSI report parameters and thus a larger CSI report size. In that case, the current RE mappings and </w:t>
      </w:r>
      <w:r w:rsidRPr="00B60539">
        <w:rPr>
          <w:rFonts w:eastAsia="Arial" w:cs="Arial"/>
        </w:rPr>
        <w:t>β</w:t>
      </w:r>
      <w:r w:rsidRPr="0062150D">
        <w:rPr>
          <w:rFonts w:eastAsia="Arial" w:cs="Arial"/>
        </w:rPr>
        <w:t xml:space="preserve"> offset values may not be valid anymore. Third, piggybacking in PSSCH implies that coding </w:t>
      </w:r>
      <w:proofErr w:type="gramStart"/>
      <w:r w:rsidRPr="0062150D">
        <w:rPr>
          <w:rFonts w:eastAsia="Arial" w:cs="Arial"/>
        </w:rPr>
        <w:t>similar to</w:t>
      </w:r>
      <w:proofErr w:type="gramEnd"/>
      <w:r w:rsidRPr="0062150D">
        <w:rPr>
          <w:rFonts w:eastAsia="Arial" w:cs="Arial"/>
        </w:rPr>
        <w:t xml:space="preserve"> UL polar code is used for CSI reporting which is not favourable as every UE will have to implement the corresponding codec. </w:t>
      </w:r>
      <w:r w:rsidRPr="00B60539">
        <w:rPr>
          <w:rFonts w:eastAsia="Arial" w:cs="Arial"/>
        </w:rPr>
        <w:t>Therefore, we believe that only option 1 should be supported.</w:t>
      </w:r>
      <w:bookmarkStart w:id="66" w:name="_Toc5119270"/>
    </w:p>
    <w:p w14:paraId="788D2DFF" w14:textId="77777777" w:rsidR="0001429D" w:rsidRPr="0062150D" w:rsidRDefault="0001429D" w:rsidP="0001429D">
      <w:pPr>
        <w:pStyle w:val="Proposal"/>
        <w:tabs>
          <w:tab w:val="num" w:pos="2438"/>
        </w:tabs>
        <w:overflowPunct/>
        <w:autoSpaceDE/>
        <w:autoSpaceDN/>
        <w:adjustRightInd/>
        <w:spacing w:line="259" w:lineRule="auto"/>
        <w:textAlignment w:val="auto"/>
      </w:pPr>
      <w:bookmarkStart w:id="67" w:name="_Toc7704277"/>
      <w:bookmarkStart w:id="68" w:name="_Toc7810450"/>
      <w:bookmarkStart w:id="69" w:name="_Toc16871149"/>
      <w:r w:rsidRPr="0062150D">
        <w:t>SL CSI report piggyback on PSSCH is not supported.</w:t>
      </w:r>
      <w:bookmarkEnd w:id="67"/>
      <w:bookmarkEnd w:id="68"/>
      <w:bookmarkEnd w:id="69"/>
    </w:p>
    <w:p w14:paraId="4483628F" w14:textId="2D687911" w:rsidR="0001429D" w:rsidRPr="0001429D" w:rsidRDefault="0001429D" w:rsidP="0001429D">
      <w:pPr>
        <w:pStyle w:val="Proposal"/>
        <w:tabs>
          <w:tab w:val="num" w:pos="2438"/>
        </w:tabs>
        <w:overflowPunct/>
        <w:autoSpaceDE/>
        <w:autoSpaceDN/>
        <w:adjustRightInd/>
        <w:spacing w:line="259" w:lineRule="auto"/>
        <w:textAlignment w:val="auto"/>
      </w:pPr>
      <w:bookmarkStart w:id="70" w:name="_Toc7810451"/>
      <w:bookmarkStart w:id="71" w:name="_Toc7704278"/>
      <w:bookmarkStart w:id="72" w:name="_Toc16871150"/>
      <w:r w:rsidRPr="0062150D">
        <w:t>SL CSI report is carried in a TB on PSSCH.</w:t>
      </w:r>
      <w:bookmarkEnd w:id="70"/>
      <w:bookmarkEnd w:id="72"/>
      <w:r w:rsidRPr="0062150D">
        <w:t xml:space="preserve"> </w:t>
      </w:r>
      <w:bookmarkEnd w:id="71"/>
    </w:p>
    <w:p w14:paraId="051CEDA5" w14:textId="755A345B" w:rsidR="00F51DAF" w:rsidRDefault="00F51DAF" w:rsidP="00F51DAF">
      <w:pPr>
        <w:jc w:val="both"/>
        <w:rPr>
          <w:rFonts w:eastAsia="Arial" w:cs="Arial"/>
        </w:rPr>
      </w:pPr>
      <w:r w:rsidRPr="00384EEF">
        <w:rPr>
          <w:rFonts w:eastAsia="Arial" w:cs="Arial"/>
        </w:rPr>
        <w:lastRenderedPageBreak/>
        <w:t xml:space="preserve">When it comes to MAC CE and RRC, we think that </w:t>
      </w:r>
      <w:r>
        <w:rPr>
          <w:rFonts w:eastAsia="Arial" w:cs="Arial"/>
        </w:rPr>
        <w:t xml:space="preserve">MAC CE is more flexible compared to RRC. First consider the scenario where a UE has both data and CSI report targeting the same receiver UE. If </w:t>
      </w:r>
      <w:r w:rsidR="006941CB">
        <w:rPr>
          <w:rFonts w:eastAsia="Arial" w:cs="Arial"/>
        </w:rPr>
        <w:t>MAC</w:t>
      </w:r>
      <w:r>
        <w:rPr>
          <w:rFonts w:eastAsia="Arial" w:cs="Arial"/>
        </w:rPr>
        <w:t xml:space="preserve"> CE is used to carry CSI report, data and CSI report can be formed as either one TB (i.e., one PSSCH) or two separate TBs (i.e., two PSSCHs). On the other hand, if RRC is used to carry CSI report, data and CSI report can only be formed as two separate TBs (i.e., two PSSCHs). </w:t>
      </w:r>
      <w:r w:rsidR="00DB6244">
        <w:rPr>
          <w:rFonts w:eastAsia="Arial" w:cs="Arial"/>
        </w:rPr>
        <w:t xml:space="preserve">Furthermore, </w:t>
      </w:r>
      <w:r w:rsidR="00846294">
        <w:rPr>
          <w:rFonts w:eastAsia="Arial" w:cs="Arial"/>
        </w:rPr>
        <w:t xml:space="preserve">if CSI report is carried via MAC CE with its </w:t>
      </w:r>
      <w:r w:rsidR="002C758F">
        <w:rPr>
          <w:rFonts w:eastAsia="Arial" w:cs="Arial"/>
        </w:rPr>
        <w:t xml:space="preserve">specifically configured LCID, no additional </w:t>
      </w:r>
      <w:r w:rsidR="00AE75B1">
        <w:rPr>
          <w:rFonts w:eastAsia="Arial" w:cs="Arial"/>
        </w:rPr>
        <w:t>signalling</w:t>
      </w:r>
      <w:r w:rsidR="002C758F">
        <w:rPr>
          <w:rFonts w:eastAsia="Arial" w:cs="Arial"/>
        </w:rPr>
        <w:t xml:space="preserve"> in SCI is needed to</w:t>
      </w:r>
      <w:r w:rsidR="00AE75B1">
        <w:rPr>
          <w:rFonts w:eastAsia="Arial" w:cs="Arial"/>
        </w:rPr>
        <w:t xml:space="preserve"> indicate the presence of SL CSI report in the </w:t>
      </w:r>
      <w:r w:rsidR="008A247A">
        <w:rPr>
          <w:rFonts w:eastAsia="Arial" w:cs="Arial"/>
        </w:rPr>
        <w:t>TB transmission.</w:t>
      </w:r>
      <w:r w:rsidR="002C758F">
        <w:rPr>
          <w:rFonts w:eastAsia="Arial" w:cs="Arial"/>
        </w:rPr>
        <w:t xml:space="preserve"> </w:t>
      </w:r>
      <w:r w:rsidR="006F3320">
        <w:rPr>
          <w:rFonts w:eastAsia="Arial" w:cs="Arial"/>
        </w:rPr>
        <w:t>In addition</w:t>
      </w:r>
      <w:r>
        <w:rPr>
          <w:rFonts w:eastAsia="Arial" w:cs="Arial"/>
        </w:rPr>
        <w:t xml:space="preserve">, when a UE has only CSI report to transmit or a UE’s data and CSI report targets different UEs, the UE can form two separate TBs, irrespective of CSI report carried by MAC CE or RRC. </w:t>
      </w:r>
    </w:p>
    <w:p w14:paraId="5AE2CBEB" w14:textId="3778C6E0" w:rsidR="00BA7141" w:rsidRPr="00A00DF0" w:rsidRDefault="00BA7141" w:rsidP="00BA7141">
      <w:pPr>
        <w:pStyle w:val="Observation"/>
        <w:overflowPunct/>
        <w:autoSpaceDE/>
        <w:autoSpaceDN/>
        <w:adjustRightInd/>
        <w:spacing w:line="259" w:lineRule="auto"/>
        <w:textAlignment w:val="auto"/>
        <w:rPr>
          <w:rFonts w:cs="Arial"/>
        </w:rPr>
      </w:pPr>
      <w:bookmarkStart w:id="73" w:name="_Toc7704262"/>
      <w:bookmarkStart w:id="74" w:name="_Toc7810434"/>
      <w:bookmarkStart w:id="75" w:name="_Toc16871163"/>
      <w:bookmarkEnd w:id="66"/>
      <w:r>
        <w:rPr>
          <w:rFonts w:eastAsia="Arial" w:cs="Arial"/>
        </w:rPr>
        <w:t xml:space="preserve">For carrying CSI report over </w:t>
      </w:r>
      <w:r w:rsidR="00C132D9">
        <w:rPr>
          <w:rFonts w:eastAsia="Arial" w:cs="Arial"/>
        </w:rPr>
        <w:t>sidelink</w:t>
      </w:r>
      <w:r>
        <w:rPr>
          <w:rFonts w:eastAsia="Arial" w:cs="Arial"/>
        </w:rPr>
        <w:t>, MAC CE is more flexible compared to RRC</w:t>
      </w:r>
      <w:r w:rsidRPr="0062150D">
        <w:rPr>
          <w:rFonts w:eastAsia="Arial" w:cs="Arial"/>
        </w:rPr>
        <w:t>.</w:t>
      </w:r>
      <w:bookmarkEnd w:id="73"/>
      <w:bookmarkEnd w:id="74"/>
      <w:bookmarkEnd w:id="75"/>
    </w:p>
    <w:p w14:paraId="6345C825" w14:textId="77777777" w:rsidR="00BA7141" w:rsidRPr="004A0416" w:rsidRDefault="00BA7141" w:rsidP="00BA7141">
      <w:pPr>
        <w:jc w:val="both"/>
        <w:rPr>
          <w:rFonts w:eastAsia="Arial" w:cs="Arial"/>
        </w:rPr>
      </w:pPr>
      <w:r w:rsidRPr="004A0416">
        <w:rPr>
          <w:rFonts w:eastAsia="Arial" w:cs="Arial"/>
        </w:rPr>
        <w:t>Whether MAC CE or RRC is eventually used to carry CSI report, we think that it is in RAN2 domain and RAN1 leaves it up</w:t>
      </w:r>
      <w:r>
        <w:rPr>
          <w:rFonts w:eastAsia="Arial" w:cs="Arial"/>
        </w:rPr>
        <w:t xml:space="preserve"> </w:t>
      </w:r>
      <w:r w:rsidRPr="004A0416">
        <w:rPr>
          <w:rFonts w:eastAsia="Arial" w:cs="Arial"/>
        </w:rPr>
        <w:t xml:space="preserve">to RAN2 to decide. Furthermore, prioritization between CSI report and data transmissions should also be done and is also specified by RAN2. </w:t>
      </w:r>
    </w:p>
    <w:p w14:paraId="071C13BA" w14:textId="77777777" w:rsidR="00BA7141" w:rsidRPr="000F6C19" w:rsidRDefault="00BA7141" w:rsidP="00BA7141">
      <w:pPr>
        <w:pStyle w:val="Proposal"/>
        <w:overflowPunct/>
        <w:autoSpaceDE/>
        <w:autoSpaceDN/>
        <w:adjustRightInd/>
        <w:spacing w:line="259" w:lineRule="auto"/>
        <w:textAlignment w:val="auto"/>
      </w:pPr>
      <w:bookmarkStart w:id="76" w:name="_Toc7704281"/>
      <w:bookmarkStart w:id="77" w:name="_Toc7810454"/>
      <w:bookmarkStart w:id="78" w:name="_Toc16871151"/>
      <w:r>
        <w:rPr>
          <w:rFonts w:eastAsia="Arial"/>
        </w:rPr>
        <w:t>It is up to RAN2 to decide if MAC CE or RRC message is used to carry CSI reports and the respective details specific to the solution.</w:t>
      </w:r>
      <w:bookmarkEnd w:id="76"/>
      <w:bookmarkEnd w:id="77"/>
      <w:bookmarkEnd w:id="78"/>
      <w:r>
        <w:rPr>
          <w:rFonts w:eastAsia="Arial"/>
        </w:rPr>
        <w:t xml:space="preserve"> </w:t>
      </w:r>
    </w:p>
    <w:p w14:paraId="2773B224" w14:textId="7D46DC95" w:rsidR="00EF44EC" w:rsidRDefault="00381057" w:rsidP="00BA7141">
      <w:pPr>
        <w:jc w:val="both"/>
        <w:rPr>
          <w:rFonts w:eastAsia="Arial" w:cs="Arial"/>
        </w:rPr>
      </w:pPr>
      <w:r>
        <w:rPr>
          <w:rFonts w:eastAsia="Arial" w:cs="Arial"/>
        </w:rPr>
        <w:t>For aperiodic</w:t>
      </w:r>
      <w:r w:rsidR="00BA7141">
        <w:rPr>
          <w:rFonts w:eastAsia="Arial" w:cs="Arial"/>
        </w:rPr>
        <w:t xml:space="preserve"> CSI</w:t>
      </w:r>
      <w:r>
        <w:rPr>
          <w:rFonts w:eastAsia="Arial" w:cs="Arial"/>
        </w:rPr>
        <w:t>-</w:t>
      </w:r>
      <w:r w:rsidR="00BA7141">
        <w:rPr>
          <w:rFonts w:eastAsia="Arial" w:cs="Arial"/>
        </w:rPr>
        <w:t xml:space="preserve">report </w:t>
      </w:r>
      <w:r>
        <w:rPr>
          <w:rFonts w:eastAsia="Arial" w:cs="Arial"/>
        </w:rPr>
        <w:t>triggering</w:t>
      </w:r>
      <w:r w:rsidR="00BA7141" w:rsidRPr="007A2994">
        <w:rPr>
          <w:rFonts w:eastAsia="Arial" w:cs="Arial"/>
        </w:rPr>
        <w:t xml:space="preserve">, </w:t>
      </w:r>
      <w:r w:rsidR="00EF44EC">
        <w:rPr>
          <w:rFonts w:eastAsia="Arial" w:cs="Arial"/>
        </w:rPr>
        <w:t xml:space="preserve">the </w:t>
      </w:r>
      <w:r w:rsidR="009C093C">
        <w:rPr>
          <w:rFonts w:eastAsia="Arial" w:cs="Arial"/>
        </w:rPr>
        <w:t xml:space="preserve">TX UE </w:t>
      </w:r>
      <w:r w:rsidR="006A77E0">
        <w:rPr>
          <w:rFonts w:eastAsia="Arial" w:cs="Arial"/>
        </w:rPr>
        <w:t xml:space="preserve">can trigger </w:t>
      </w:r>
      <w:r w:rsidR="00C132D9">
        <w:rPr>
          <w:rFonts w:eastAsia="Arial" w:cs="Arial"/>
        </w:rPr>
        <w:t>sidelink</w:t>
      </w:r>
      <w:r w:rsidR="006A77E0">
        <w:rPr>
          <w:rFonts w:eastAsia="Arial" w:cs="Arial"/>
        </w:rPr>
        <w:t xml:space="preserve"> report when it is needed</w:t>
      </w:r>
      <w:r w:rsidR="00D847C3">
        <w:rPr>
          <w:rFonts w:eastAsia="Arial" w:cs="Arial"/>
        </w:rPr>
        <w:t xml:space="preserve">, e.g., to perform </w:t>
      </w:r>
      <w:r w:rsidR="00D174CE">
        <w:rPr>
          <w:rFonts w:eastAsia="Arial" w:cs="Arial"/>
        </w:rPr>
        <w:t>link adaptation, adaptation of transmission layers, etc</w:t>
      </w:r>
      <w:r w:rsidR="006A77E0">
        <w:rPr>
          <w:rFonts w:eastAsia="Arial" w:cs="Arial"/>
        </w:rPr>
        <w:t xml:space="preserve">. </w:t>
      </w:r>
      <w:r w:rsidR="00D174CE">
        <w:rPr>
          <w:rFonts w:eastAsia="Arial" w:cs="Arial"/>
        </w:rPr>
        <w:t>For this purpose</w:t>
      </w:r>
      <w:r w:rsidR="006A77E0">
        <w:rPr>
          <w:rFonts w:eastAsia="Arial" w:cs="Arial"/>
        </w:rPr>
        <w:t xml:space="preserve">, </w:t>
      </w:r>
      <w:r w:rsidR="008207A8">
        <w:rPr>
          <w:rFonts w:eastAsia="Arial" w:cs="Arial"/>
        </w:rPr>
        <w:t xml:space="preserve">the TX UE can include </w:t>
      </w:r>
      <w:r w:rsidR="00583D74">
        <w:rPr>
          <w:rFonts w:eastAsia="Arial" w:cs="Arial"/>
        </w:rPr>
        <w:t xml:space="preserve">an indication in SCI to trigger </w:t>
      </w:r>
      <w:r w:rsidR="00D174CE">
        <w:rPr>
          <w:rFonts w:eastAsia="Arial" w:cs="Arial"/>
        </w:rPr>
        <w:t xml:space="preserve">the </w:t>
      </w:r>
      <w:r w:rsidR="00583D74">
        <w:rPr>
          <w:rFonts w:eastAsia="Arial" w:cs="Arial"/>
        </w:rPr>
        <w:t>CSI report from the RX UE</w:t>
      </w:r>
      <w:r w:rsidR="00B863E8">
        <w:rPr>
          <w:rFonts w:eastAsia="Arial" w:cs="Arial"/>
        </w:rPr>
        <w:t xml:space="preserve">. </w:t>
      </w:r>
    </w:p>
    <w:p w14:paraId="3A1CB4ED" w14:textId="0BF66BB0" w:rsidR="00B863E8" w:rsidRPr="00C132D9" w:rsidRDefault="00BC4CA3" w:rsidP="00BA7141">
      <w:pPr>
        <w:pStyle w:val="Proposal"/>
        <w:tabs>
          <w:tab w:val="num" w:pos="2438"/>
        </w:tabs>
        <w:overflowPunct/>
        <w:autoSpaceDE/>
        <w:autoSpaceDN/>
        <w:adjustRightInd/>
        <w:spacing w:line="259" w:lineRule="auto"/>
        <w:textAlignment w:val="auto"/>
      </w:pPr>
      <w:bookmarkStart w:id="79" w:name="_Toc16871152"/>
      <w:r>
        <w:t xml:space="preserve">An indication in SCI is used to trigger </w:t>
      </w:r>
      <w:r w:rsidR="00C132D9">
        <w:t>sidelink</w:t>
      </w:r>
      <w:r>
        <w:t xml:space="preserve"> CSI </w:t>
      </w:r>
      <w:r w:rsidR="00C132D9">
        <w:t>report from the RX UE.</w:t>
      </w:r>
      <w:bookmarkEnd w:id="79"/>
      <w:r w:rsidR="00B863E8">
        <w:t xml:space="preserve"> </w:t>
      </w:r>
    </w:p>
    <w:p w14:paraId="00EF93D8" w14:textId="00B43DC1" w:rsidR="00BA7141" w:rsidRDefault="00BA7141" w:rsidP="00BA7141">
      <w:pPr>
        <w:pStyle w:val="Heading2"/>
      </w:pPr>
      <w:r>
        <w:t>4</w:t>
      </w:r>
      <w:r w:rsidRPr="002B49D6">
        <w:t>.</w:t>
      </w:r>
      <w:r w:rsidR="00E42D1D">
        <w:t>2</w:t>
      </w:r>
      <w:r w:rsidRPr="002B49D6">
        <w:tab/>
        <w:t>Sidelink CSI-RS</w:t>
      </w:r>
      <w:r w:rsidR="00344D4D">
        <w:t xml:space="preserve"> procedures</w:t>
      </w:r>
    </w:p>
    <w:p w14:paraId="020767F1" w14:textId="77777777" w:rsidR="00BA7141" w:rsidRPr="0062150D" w:rsidRDefault="00BA7141" w:rsidP="00BA7141">
      <w:pPr>
        <w:jc w:val="both"/>
        <w:rPr>
          <w:rFonts w:eastAsia="Arial" w:cs="Arial"/>
        </w:rPr>
      </w:pPr>
      <w:r w:rsidRPr="0062150D">
        <w:rPr>
          <w:rFonts w:eastAsia="Arial" w:cs="Arial"/>
          <w:lang w:eastAsia="en-GB"/>
        </w:rPr>
        <w:t xml:space="preserve">It has been agreed in RAN1 #96bis to support sidelink CSI-RS for CQI/RI measurement, where CSI-RS is confined with the PSSCH transmission. </w:t>
      </w:r>
    </w:p>
    <w:p w14:paraId="712B3670" w14:textId="6411CB44" w:rsidR="00BA7141" w:rsidRPr="0062150D" w:rsidRDefault="00BA7141" w:rsidP="00BA7141">
      <w:pPr>
        <w:jc w:val="both"/>
        <w:rPr>
          <w:rFonts w:eastAsia="Arial" w:cs="Arial"/>
        </w:rPr>
      </w:pPr>
      <w:r w:rsidRPr="0062150D">
        <w:rPr>
          <w:rFonts w:eastAsia="Arial" w:cs="Arial"/>
          <w:lang w:eastAsia="en-GB"/>
        </w:rPr>
        <w:t>The SCSI-RS should be designed in such a way that it facilitates CSIT acquisition</w:t>
      </w:r>
      <w:r w:rsidRPr="0062150D" w:rsidDel="005A2CEE">
        <w:rPr>
          <w:rFonts w:eastAsia="Arial" w:cs="Arial"/>
          <w:lang w:eastAsia="en-GB"/>
        </w:rPr>
        <w:t xml:space="preserve"> </w:t>
      </w:r>
      <w:r w:rsidRPr="0062150D">
        <w:rPr>
          <w:rFonts w:eastAsia="Arial" w:cs="Arial"/>
          <w:lang w:eastAsia="en-GB"/>
        </w:rPr>
        <w:t xml:space="preserve">either in a reciprocity-based manner and/or in a feedback-based manner. Specifically, when channel reciprocity can be exploited, CSIT can be obtained using SCSI-RS transmitted by the peer UE. On the other hand, when channel reciprocity does not hold, SCSI-RS can be used to measure the channel and/or the interference which are then reported back to the transmitter to facilitate CSIT acquisition, which is considered as SL CSI report. Since </w:t>
      </w:r>
      <w:r w:rsidRPr="0062150D">
        <w:rPr>
          <w:rFonts w:eastAsia="Arial" w:cs="Arial"/>
        </w:rPr>
        <w:t>SCSI-RS may or may not be present in a slot, we can use the SCI transmitted over PSCCH to indicate its presence.</w:t>
      </w:r>
      <w:r w:rsidR="008E418A">
        <w:rPr>
          <w:rFonts w:eastAsia="Arial" w:cs="Arial"/>
        </w:rPr>
        <w:t xml:space="preserve"> </w:t>
      </w:r>
      <w:r w:rsidR="00E26935">
        <w:rPr>
          <w:rFonts w:eastAsia="Arial" w:cs="Arial"/>
        </w:rPr>
        <w:t xml:space="preserve"> </w:t>
      </w:r>
    </w:p>
    <w:p w14:paraId="21D46CDC" w14:textId="26CE7937" w:rsidR="00BA7141" w:rsidRPr="0062150D" w:rsidRDefault="00BA7141" w:rsidP="00BA7141">
      <w:pPr>
        <w:pStyle w:val="Proposal"/>
        <w:tabs>
          <w:tab w:val="num" w:pos="2438"/>
        </w:tabs>
        <w:overflowPunct/>
        <w:autoSpaceDE/>
        <w:autoSpaceDN/>
        <w:adjustRightInd/>
        <w:spacing w:line="259" w:lineRule="auto"/>
        <w:textAlignment w:val="auto"/>
      </w:pPr>
      <w:bookmarkStart w:id="80" w:name="_Toc1150518"/>
      <w:bookmarkStart w:id="81" w:name="_Toc5119273"/>
      <w:bookmarkStart w:id="82" w:name="_Toc7704284"/>
      <w:bookmarkStart w:id="83" w:name="_Toc7810457"/>
      <w:bookmarkStart w:id="84" w:name="_Toc16871153"/>
      <w:r w:rsidRPr="0062150D">
        <w:rPr>
          <w:lang w:eastAsia="en-GB"/>
        </w:rPr>
        <w:t xml:space="preserve">The </w:t>
      </w:r>
      <w:r w:rsidRPr="0062150D">
        <w:t>presence of SCSI-RS in a slot is indicated by an SCI carried by the PSCCH</w:t>
      </w:r>
      <w:bookmarkEnd w:id="80"/>
      <w:bookmarkEnd w:id="81"/>
      <w:bookmarkEnd w:id="82"/>
      <w:bookmarkEnd w:id="83"/>
      <w:r w:rsidR="00CE7181">
        <w:t>.</w:t>
      </w:r>
      <w:bookmarkEnd w:id="84"/>
    </w:p>
    <w:p w14:paraId="0EC593A8" w14:textId="2EDE4CE8" w:rsidR="002820B0" w:rsidRPr="00CE0424" w:rsidRDefault="00BA7141" w:rsidP="00764E57">
      <w:r w:rsidRPr="0062150D">
        <w:rPr>
          <w:rFonts w:eastAsia="Arial" w:cs="Arial"/>
          <w:lang w:eastAsia="en-GB"/>
        </w:rPr>
        <w:t>More design aspects of SCSI-RS can be found in</w:t>
      </w:r>
      <w:r w:rsidRPr="0062150D">
        <w:rPr>
          <w:rFonts w:eastAsia="Arial" w:cs="Arial"/>
        </w:rPr>
        <w:t xml:space="preserve"> our companion contribution</w:t>
      </w:r>
      <w:r w:rsidR="00663D39">
        <w:rPr>
          <w:rFonts w:eastAsia="Arial" w:cs="Arial"/>
        </w:rPr>
        <w:t xml:space="preserve"> </w:t>
      </w:r>
      <w:r w:rsidR="00663D39">
        <w:rPr>
          <w:rFonts w:eastAsia="Arial" w:cs="Arial"/>
        </w:rPr>
        <w:fldChar w:fldCharType="begin"/>
      </w:r>
      <w:r w:rsidR="00663D39">
        <w:rPr>
          <w:rFonts w:eastAsia="Arial" w:cs="Arial"/>
        </w:rPr>
        <w:instrText xml:space="preserve"> REF _Ref14349487 \r \h </w:instrText>
      </w:r>
      <w:r w:rsidR="00663D39">
        <w:rPr>
          <w:rFonts w:eastAsia="Arial" w:cs="Arial"/>
        </w:rPr>
      </w:r>
      <w:r w:rsidR="00663D39">
        <w:rPr>
          <w:rFonts w:eastAsia="Arial" w:cs="Arial"/>
        </w:rPr>
        <w:fldChar w:fldCharType="separate"/>
      </w:r>
      <w:r w:rsidR="000526E5">
        <w:rPr>
          <w:rFonts w:eastAsia="Arial" w:cs="Arial"/>
        </w:rPr>
        <w:t>[2</w:t>
      </w:r>
      <w:bookmarkStart w:id="85" w:name="_Hlt16673529"/>
      <w:bookmarkStart w:id="86" w:name="_Hlt16673530"/>
      <w:r w:rsidR="000526E5">
        <w:rPr>
          <w:rFonts w:eastAsia="Arial" w:cs="Arial"/>
        </w:rPr>
        <w:t>]</w:t>
      </w:r>
      <w:bookmarkEnd w:id="85"/>
      <w:bookmarkEnd w:id="86"/>
      <w:r w:rsidR="00663D39">
        <w:rPr>
          <w:rFonts w:eastAsia="Arial" w:cs="Arial"/>
        </w:rPr>
        <w:fldChar w:fldCharType="end"/>
      </w:r>
      <w:r w:rsidR="00663D39">
        <w:rPr>
          <w:rFonts w:eastAsia="Arial" w:cs="Arial"/>
        </w:rPr>
        <w:t>.</w:t>
      </w:r>
      <w:r w:rsidRPr="0062150D">
        <w:rPr>
          <w:rFonts w:eastAsia="Arial" w:cs="Arial"/>
        </w:rPr>
        <w:t xml:space="preserve"> </w:t>
      </w:r>
    </w:p>
    <w:p w14:paraId="796C39E2" w14:textId="17E39DBB" w:rsidR="003C1A5C" w:rsidRDefault="00565F01" w:rsidP="003C1A5C">
      <w:pPr>
        <w:pStyle w:val="Heading1"/>
      </w:pPr>
      <w:r>
        <w:t>5</w:t>
      </w:r>
      <w:r>
        <w:tab/>
      </w:r>
      <w:r w:rsidRPr="00565F01">
        <w:rPr>
          <w:rFonts w:eastAsia="Arial" w:cs="Arial"/>
          <w:lang w:val="en-US" w:eastAsia="zh-CN"/>
        </w:rPr>
        <w:t xml:space="preserve">Sidelink </w:t>
      </w:r>
      <w:r>
        <w:rPr>
          <w:rFonts w:eastAsia="Arial" w:cs="Arial"/>
          <w:lang w:val="en-US" w:eastAsia="zh-CN"/>
        </w:rPr>
        <w:t>multi-antenna transmission</w:t>
      </w:r>
      <w:r w:rsidR="004B72E2">
        <w:rPr>
          <w:rFonts w:eastAsia="Arial" w:cs="Arial"/>
          <w:lang w:val="en-US" w:eastAsia="zh-CN"/>
        </w:rPr>
        <w:t>s</w:t>
      </w:r>
      <w:r>
        <w:t xml:space="preserve"> </w:t>
      </w:r>
    </w:p>
    <w:p w14:paraId="045525E1" w14:textId="77777777" w:rsidR="00AA54DD" w:rsidRPr="00AA54DD" w:rsidRDefault="00AA54DD" w:rsidP="00D33AD8">
      <w:pPr>
        <w:jc w:val="both"/>
        <w:rPr>
          <w:color w:val="000000"/>
        </w:rPr>
      </w:pPr>
      <w:r w:rsidRPr="00AA54DD">
        <w:t>In the absence of PMI feedback, open loop MIMO transmission schemes enable multi-rank transmission. Random precoder selection (RPS) is a potential open loop MIMO scheme in which a different precoder is applied to each of the p</w:t>
      </w:r>
      <w:r w:rsidRPr="00AA54DD">
        <w:rPr>
          <w:color w:val="000000"/>
        </w:rPr>
        <w:t>recoding resource block group (PRG), where each PRG is a group of consecutive PRBs. The indices of the precoders applied to the PRGs are henceforth referred to as precoder cycling pattern (PCP).</w:t>
      </w:r>
    </w:p>
    <w:p w14:paraId="519ADF83" w14:textId="71F76AD4" w:rsidR="00AA54DD" w:rsidRPr="00AA54DD" w:rsidRDefault="00AA54DD" w:rsidP="00AA54DD">
      <w:pPr>
        <w:tabs>
          <w:tab w:val="left" w:pos="1701"/>
        </w:tabs>
        <w:overflowPunct/>
        <w:autoSpaceDE/>
        <w:autoSpaceDN/>
        <w:adjustRightInd/>
        <w:spacing w:after="120" w:line="259" w:lineRule="auto"/>
        <w:jc w:val="both"/>
        <w:textAlignment w:val="auto"/>
        <w:rPr>
          <w:rFonts w:eastAsia="Arial" w:cs="Arial"/>
          <w:bCs/>
        </w:rPr>
      </w:pPr>
      <w:r w:rsidRPr="00AA54DD">
        <w:rPr>
          <w:rFonts w:eastAsia="Arial" w:cs="Arial"/>
          <w:bCs/>
        </w:rPr>
        <w:t>The choice of using RPS for multi-rank transmission should consider the antenna array configuration. In [</w:t>
      </w:r>
      <w:r w:rsidR="00962688">
        <w:rPr>
          <w:rFonts w:eastAsia="Arial" w:cs="Arial"/>
          <w:bCs/>
        </w:rPr>
        <w:t>3</w:t>
      </w:r>
      <w:r w:rsidRPr="00AA54DD">
        <w:rPr>
          <w:rFonts w:eastAsia="Arial" w:cs="Arial"/>
          <w:bCs/>
        </w:rPr>
        <w:t>], several antenna array configurations including distributed panels have been agreed for evaluations. The applicability of RPS for each of the array configuration is FFS. The RPS method for achieving MIMO transmission may have to be restricted to specific array configurations.</w:t>
      </w:r>
    </w:p>
    <w:p w14:paraId="3D7D75F6" w14:textId="77777777" w:rsidR="00AA54DD" w:rsidRPr="00AA54DD" w:rsidRDefault="00AA54DD" w:rsidP="00AA54DD">
      <w:pPr>
        <w:pStyle w:val="Observation"/>
        <w:overflowPunct/>
        <w:autoSpaceDE/>
        <w:autoSpaceDN/>
        <w:adjustRightInd/>
        <w:spacing w:line="259" w:lineRule="auto"/>
        <w:ind w:left="1701" w:hanging="1701"/>
        <w:textAlignment w:val="auto"/>
        <w:rPr>
          <w:rFonts w:eastAsia="Arial" w:cs="Arial"/>
        </w:rPr>
      </w:pPr>
      <w:bookmarkStart w:id="87" w:name="_Toc16871164"/>
      <w:r w:rsidRPr="00AA54DD">
        <w:rPr>
          <w:rFonts w:eastAsia="Arial" w:cs="Arial"/>
        </w:rPr>
        <w:t>The applicability of RPS for each of the array configuration is FFS and RPS method may have to be restricted to specific array configurations.</w:t>
      </w:r>
      <w:bookmarkEnd w:id="87"/>
    </w:p>
    <w:p w14:paraId="11234240" w14:textId="19CA5A0C" w:rsidR="00AA54DD" w:rsidRPr="00AA54DD" w:rsidRDefault="00AA54DD" w:rsidP="00D33AD8">
      <w:pPr>
        <w:jc w:val="both"/>
        <w:rPr>
          <w:color w:val="000000"/>
        </w:rPr>
      </w:pPr>
      <w:r w:rsidRPr="00AA54DD">
        <w:rPr>
          <w:color w:val="000000"/>
        </w:rPr>
        <w:t>Since supporting multi-rank transmission</w:t>
      </w:r>
      <w:r w:rsidR="00D33AD8">
        <w:rPr>
          <w:color w:val="000000"/>
        </w:rPr>
        <w:t>s</w:t>
      </w:r>
      <w:r w:rsidRPr="00AA54DD">
        <w:rPr>
          <w:color w:val="000000"/>
        </w:rPr>
        <w:t xml:space="preserve"> up to two antenna ports is agreed, adapting transmission rank based on channel conditions allows efficient utiliz</w:t>
      </w:r>
      <w:r w:rsidR="00190DD9">
        <w:rPr>
          <w:color w:val="000000"/>
        </w:rPr>
        <w:t>ation of</w:t>
      </w:r>
      <w:r w:rsidRPr="00AA54DD">
        <w:rPr>
          <w:color w:val="000000"/>
        </w:rPr>
        <w:t xml:space="preserve"> the resources. CSI-RS transmission allows a receiver to determine the transmission rank to be used by measuring the non-</w:t>
      </w:r>
      <w:proofErr w:type="spellStart"/>
      <w:r w:rsidRPr="00AA54DD">
        <w:rPr>
          <w:color w:val="000000"/>
        </w:rPr>
        <w:t>precoded</w:t>
      </w:r>
      <w:proofErr w:type="spellEnd"/>
      <w:r w:rsidRPr="00AA54DD">
        <w:rPr>
          <w:color w:val="000000"/>
        </w:rPr>
        <w:t xml:space="preserve"> channel. We make the following observation.</w:t>
      </w:r>
    </w:p>
    <w:p w14:paraId="10B14999" w14:textId="7DCD5BE7" w:rsidR="00AA54DD" w:rsidRPr="00AA54DD" w:rsidRDefault="00AA54DD" w:rsidP="00AA54DD">
      <w:pPr>
        <w:pStyle w:val="Observation"/>
        <w:overflowPunct/>
        <w:autoSpaceDE/>
        <w:autoSpaceDN/>
        <w:adjustRightInd/>
        <w:spacing w:line="259" w:lineRule="auto"/>
        <w:ind w:left="1701" w:hanging="1701"/>
        <w:textAlignment w:val="auto"/>
        <w:rPr>
          <w:rFonts w:eastAsia="Arial" w:cs="Arial"/>
        </w:rPr>
      </w:pPr>
      <w:bookmarkStart w:id="88" w:name="_Toc16871165"/>
      <w:r w:rsidRPr="00AA54DD">
        <w:rPr>
          <w:rFonts w:eastAsia="Arial" w:cs="Arial"/>
        </w:rPr>
        <w:lastRenderedPageBreak/>
        <w:t>It is beneficial to schedule a CSI-RS transmission to allow the determination of RI using measurements of non-</w:t>
      </w:r>
      <w:proofErr w:type="spellStart"/>
      <w:r w:rsidRPr="00AA54DD">
        <w:rPr>
          <w:rFonts w:eastAsia="Arial" w:cs="Arial"/>
        </w:rPr>
        <w:t>precoded</w:t>
      </w:r>
      <w:proofErr w:type="spellEnd"/>
      <w:r w:rsidRPr="00AA54DD">
        <w:rPr>
          <w:rFonts w:eastAsia="Arial" w:cs="Arial"/>
        </w:rPr>
        <w:t xml:space="preserve"> channel.</w:t>
      </w:r>
      <w:bookmarkEnd w:id="88"/>
    </w:p>
    <w:p w14:paraId="1DBE15A3" w14:textId="2CB02EDA" w:rsidR="000C5E0A" w:rsidRPr="00AA54DD" w:rsidRDefault="000C5E0A" w:rsidP="000C5E0A">
      <w:pPr>
        <w:pStyle w:val="Proposal"/>
      </w:pPr>
      <w:bookmarkStart w:id="89" w:name="_Toc16871154"/>
      <w:r>
        <w:t xml:space="preserve">CSI-RS </w:t>
      </w:r>
      <w:r w:rsidR="00E278FD">
        <w:t xml:space="preserve">is </w:t>
      </w:r>
      <w:r w:rsidR="00911676">
        <w:t>transmitted in a non-</w:t>
      </w:r>
      <w:proofErr w:type="spellStart"/>
      <w:r w:rsidR="00911676">
        <w:t>precoded</w:t>
      </w:r>
      <w:proofErr w:type="spellEnd"/>
      <w:r w:rsidR="00911676">
        <w:t xml:space="preserve"> manner.</w:t>
      </w:r>
      <w:bookmarkEnd w:id="89"/>
      <w:r w:rsidR="00911676">
        <w:t xml:space="preserve"> </w:t>
      </w:r>
    </w:p>
    <w:p w14:paraId="7C613CD5" w14:textId="4A4BAE52" w:rsidR="00AA54DD" w:rsidRPr="00AA54DD" w:rsidRDefault="00AA54DD" w:rsidP="00AA54DD">
      <w:pPr>
        <w:rPr>
          <w:color w:val="000000"/>
        </w:rPr>
      </w:pPr>
      <w:r w:rsidRPr="00AA54DD">
        <w:rPr>
          <w:color w:val="000000"/>
        </w:rPr>
        <w:t>RPS can be performed in transparent or non-transparent mode. In transparent mode the PCP is unknown to a receiver, while in the non-transparent mode the PCP is known at a receiver. Furthermore, the PCP can be changed or be fixed across slots. Changing the PCP across slots poses a challenge in determining and reporting a CQI that is valid across slots since the reported CQI may not be valid for the new PCP. We make the following observation.</w:t>
      </w:r>
    </w:p>
    <w:p w14:paraId="3967B7CF" w14:textId="77777777" w:rsidR="00AA54DD" w:rsidRPr="00AA54DD" w:rsidRDefault="00AA54DD" w:rsidP="00AA54DD">
      <w:pPr>
        <w:pStyle w:val="Observation"/>
        <w:overflowPunct/>
        <w:autoSpaceDE/>
        <w:autoSpaceDN/>
        <w:adjustRightInd/>
        <w:spacing w:line="259" w:lineRule="auto"/>
        <w:ind w:left="1701" w:hanging="1701"/>
        <w:textAlignment w:val="auto"/>
        <w:rPr>
          <w:rFonts w:eastAsia="Arial" w:cs="Arial"/>
        </w:rPr>
      </w:pPr>
      <w:bookmarkStart w:id="90" w:name="_Toc16871166"/>
      <w:r w:rsidRPr="00AA54DD">
        <w:rPr>
          <w:rFonts w:eastAsia="Arial" w:cs="Arial"/>
        </w:rPr>
        <w:t>It is beneficial to fix the PCP to retain the applicability of the reported CQI in the slots following a CSI report.</w:t>
      </w:r>
      <w:bookmarkEnd w:id="90"/>
    </w:p>
    <w:p w14:paraId="5B034090" w14:textId="77777777" w:rsidR="00AA54DD" w:rsidRPr="00AA54DD" w:rsidRDefault="00AA54DD" w:rsidP="00AA54DD">
      <w:pPr>
        <w:tabs>
          <w:tab w:val="left" w:pos="1701"/>
        </w:tabs>
        <w:overflowPunct/>
        <w:autoSpaceDE/>
        <w:autoSpaceDN/>
        <w:adjustRightInd/>
        <w:spacing w:after="120" w:line="259" w:lineRule="auto"/>
        <w:jc w:val="both"/>
        <w:textAlignment w:val="auto"/>
        <w:rPr>
          <w:rFonts w:eastAsia="Arial" w:cs="Arial"/>
          <w:bCs/>
        </w:rPr>
      </w:pPr>
      <w:r w:rsidRPr="00AA54DD">
        <w:rPr>
          <w:rFonts w:eastAsia="Arial" w:cs="Arial"/>
          <w:bCs/>
        </w:rPr>
        <w:t>The non-</w:t>
      </w:r>
      <w:proofErr w:type="spellStart"/>
      <w:r w:rsidRPr="00AA54DD">
        <w:rPr>
          <w:rFonts w:eastAsia="Arial" w:cs="Arial"/>
          <w:bCs/>
        </w:rPr>
        <w:t>precoded</w:t>
      </w:r>
      <w:proofErr w:type="spellEnd"/>
      <w:r w:rsidRPr="00AA54DD">
        <w:rPr>
          <w:rFonts w:eastAsia="Arial" w:cs="Arial"/>
          <w:bCs/>
        </w:rPr>
        <w:t xml:space="preserve"> channel measured using CSI-RS can be used by a receiver to determine the rank of the channel. If the fixed PCP used for each rank are also known at the receiver, the precoders can be applied to the measured non-</w:t>
      </w:r>
      <w:proofErr w:type="spellStart"/>
      <w:r w:rsidRPr="00AA54DD">
        <w:rPr>
          <w:rFonts w:eastAsia="Arial" w:cs="Arial"/>
          <w:bCs/>
        </w:rPr>
        <w:t>precoded</w:t>
      </w:r>
      <w:proofErr w:type="spellEnd"/>
      <w:r w:rsidRPr="00AA54DD">
        <w:rPr>
          <w:rFonts w:eastAsia="Arial" w:cs="Arial"/>
          <w:bCs/>
        </w:rPr>
        <w:t xml:space="preserve"> channel to determine the [RI, CQI] pair considering the effects of RPS. We make the following observation.</w:t>
      </w:r>
    </w:p>
    <w:p w14:paraId="26D0AF47" w14:textId="77777777" w:rsidR="00AA54DD" w:rsidRPr="00AA54DD" w:rsidRDefault="00AA54DD" w:rsidP="00AA54DD">
      <w:pPr>
        <w:pStyle w:val="Observation"/>
        <w:overflowPunct/>
        <w:autoSpaceDE/>
        <w:autoSpaceDN/>
        <w:adjustRightInd/>
        <w:spacing w:line="259" w:lineRule="auto"/>
        <w:ind w:left="1701" w:hanging="1701"/>
        <w:textAlignment w:val="auto"/>
        <w:rPr>
          <w:rFonts w:eastAsia="Arial" w:cs="Arial"/>
        </w:rPr>
      </w:pPr>
      <w:bookmarkStart w:id="91" w:name="_Toc16871167"/>
      <w:r w:rsidRPr="00AA54DD">
        <w:rPr>
          <w:rFonts w:eastAsia="Arial" w:cs="Arial"/>
        </w:rPr>
        <w:t>When the PCP for each rank are known at a receiver, it is possible to determine the [RI, CQI] pair considering the effects of RPS.</w:t>
      </w:r>
      <w:bookmarkEnd w:id="91"/>
    </w:p>
    <w:p w14:paraId="2387C177" w14:textId="0218C8F8" w:rsidR="003C1A5C" w:rsidRPr="003C1A5C" w:rsidRDefault="00F91532" w:rsidP="00AA54DD">
      <w:pPr>
        <w:tabs>
          <w:tab w:val="left" w:pos="1701"/>
        </w:tabs>
        <w:overflowPunct/>
        <w:autoSpaceDE/>
        <w:autoSpaceDN/>
        <w:adjustRightInd/>
        <w:spacing w:after="120" w:line="259" w:lineRule="auto"/>
        <w:jc w:val="both"/>
        <w:textAlignment w:val="auto"/>
      </w:pPr>
      <w:r>
        <w:rPr>
          <w:rFonts w:eastAsia="Arial" w:cs="Arial"/>
          <w:bCs/>
        </w:rPr>
        <w:t>In the case of non-transparent RPS with fixed PCP, t</w:t>
      </w:r>
      <w:r w:rsidR="00C23DB7">
        <w:rPr>
          <w:rFonts w:eastAsia="Arial" w:cs="Arial"/>
          <w:bCs/>
        </w:rPr>
        <w:t xml:space="preserve">he </w:t>
      </w:r>
      <w:r w:rsidR="00A91F88">
        <w:rPr>
          <w:rFonts w:eastAsia="Arial" w:cs="Arial"/>
          <w:bCs/>
        </w:rPr>
        <w:t>PCP for each rank can be configured using the PC5-RRC message.</w:t>
      </w:r>
    </w:p>
    <w:p w14:paraId="332C304D" w14:textId="4B09FE00" w:rsidR="003C1A5C" w:rsidRDefault="003C1A5C" w:rsidP="003C1A5C">
      <w:pPr>
        <w:pStyle w:val="Heading1"/>
      </w:pPr>
      <w:r>
        <w:t>6</w:t>
      </w:r>
      <w:r>
        <w:tab/>
      </w:r>
      <w:r w:rsidRPr="00565F01">
        <w:rPr>
          <w:rFonts w:eastAsia="Arial" w:cs="Arial"/>
          <w:lang w:val="en-US" w:eastAsia="zh-CN"/>
        </w:rPr>
        <w:t xml:space="preserve">Sidelink </w:t>
      </w:r>
      <w:r>
        <w:rPr>
          <w:rFonts w:eastAsia="Arial" w:cs="Arial"/>
          <w:lang w:val="en-US" w:eastAsia="zh-CN"/>
        </w:rPr>
        <w:t>power control</w:t>
      </w:r>
      <w:r>
        <w:t xml:space="preserve"> </w:t>
      </w:r>
    </w:p>
    <w:p w14:paraId="72D754DF" w14:textId="24BC5B06" w:rsidR="009104A7" w:rsidRPr="000F7EE1" w:rsidRDefault="009104A7" w:rsidP="009104A7">
      <w:pPr>
        <w:jc w:val="both"/>
        <w:rPr>
          <w:rFonts w:eastAsia="Arial" w:cs="Arial"/>
          <w:lang w:eastAsia="en-GB"/>
        </w:rPr>
      </w:pPr>
      <w:r w:rsidRPr="003574B1">
        <w:rPr>
          <w:rFonts w:eastAsia="Arial" w:cs="Arial"/>
          <w:lang w:eastAsia="en-GB"/>
        </w:rPr>
        <w:t xml:space="preserve">To </w:t>
      </w:r>
      <w:r w:rsidRPr="001B454B">
        <w:rPr>
          <w:rFonts w:eastAsia="Arial" w:cs="Arial"/>
          <w:lang w:eastAsia="en-GB"/>
        </w:rPr>
        <w:t xml:space="preserve">set the transmit power for unicast, the TX UE estimates the pathloss based on the SL RSRP reported by the RX UE. The SL RSRP is calculated based on long-term measurements (layer-3 filtered) of a SL reference signal. The RSRP </w:t>
      </w:r>
      <w:r w:rsidRPr="0058798E">
        <w:rPr>
          <w:rFonts w:eastAsia="Arial" w:cs="Arial"/>
          <w:lang w:eastAsia="en-GB"/>
        </w:rPr>
        <w:t xml:space="preserve">reporting </w:t>
      </w:r>
      <w:r w:rsidRPr="001B454B">
        <w:rPr>
          <w:rFonts w:eastAsia="Arial" w:cs="Arial"/>
          <w:lang w:eastAsia="en-GB"/>
        </w:rPr>
        <w:t xml:space="preserve">can be </w:t>
      </w:r>
      <w:r w:rsidRPr="001B454B" w:rsidDel="007D6CEF">
        <w:rPr>
          <w:rFonts w:eastAsia="Arial" w:cs="Arial"/>
          <w:lang w:eastAsia="en-GB"/>
        </w:rPr>
        <w:t>triggered by the TX UE</w:t>
      </w:r>
      <w:r>
        <w:rPr>
          <w:rFonts w:eastAsia="Arial" w:cs="Arial"/>
          <w:lang w:eastAsia="en-GB"/>
        </w:rPr>
        <w:t xml:space="preserve"> and the RX UE reports back the L3 RSRP</w:t>
      </w:r>
      <w:bookmarkStart w:id="92" w:name="_Hlk16597910"/>
      <w:r w:rsidRPr="001B454B">
        <w:rPr>
          <w:rFonts w:eastAsia="Arial" w:cs="Arial"/>
          <w:lang w:eastAsia="en-GB"/>
        </w:rPr>
        <w:t xml:space="preserve">. </w:t>
      </w:r>
      <w:r>
        <w:rPr>
          <w:rFonts w:eastAsia="Arial" w:cs="Arial"/>
          <w:lang w:eastAsia="en-GB"/>
        </w:rPr>
        <w:t>In case of changes in the power of the RS used for RSRP measurement, the TX UE can either trigger a new request for RSRP report</w:t>
      </w:r>
      <w:r w:rsidRPr="001B454B">
        <w:rPr>
          <w:rFonts w:eastAsia="Arial" w:cs="Arial"/>
          <w:lang w:eastAsia="en-GB"/>
        </w:rPr>
        <w:t xml:space="preserve"> </w:t>
      </w:r>
      <w:bookmarkEnd w:id="92"/>
      <w:r>
        <w:rPr>
          <w:rFonts w:eastAsia="Arial" w:cs="Arial"/>
          <w:lang w:eastAsia="en-GB"/>
        </w:rPr>
        <w:t xml:space="preserve">or can apply some compensation for inaccuracies while estimating the pathloss using the reported RSRP. Re-triggering the RSRP reporting is a better option as it is difficult to calculate accurate compensation for the reported RSRP that has been averaged out. It is better if RX UE performs L3 filtering since there is no frequent reporting overhead of L1 RSRP. </w:t>
      </w:r>
      <w:proofErr w:type="gramStart"/>
      <w:r w:rsidRPr="001B454B">
        <w:rPr>
          <w:rFonts w:eastAsia="Arial" w:cs="Arial"/>
          <w:lang w:eastAsia="en-GB"/>
        </w:rPr>
        <w:t>Similar to</w:t>
      </w:r>
      <w:proofErr w:type="gramEnd"/>
      <w:r w:rsidRPr="001B454B">
        <w:rPr>
          <w:rFonts w:eastAsia="Arial" w:cs="Arial"/>
          <w:lang w:eastAsia="en-GB"/>
        </w:rPr>
        <w:t xml:space="preserve"> CSI reports, RSRP report can be conveyed either via RRC message or MAC CE and it is up</w:t>
      </w:r>
      <w:r w:rsidR="00A22DCC">
        <w:rPr>
          <w:rFonts w:eastAsia="Arial" w:cs="Arial"/>
          <w:lang w:eastAsia="en-GB"/>
        </w:rPr>
        <w:t xml:space="preserve"> </w:t>
      </w:r>
      <w:r w:rsidRPr="001B454B">
        <w:rPr>
          <w:rFonts w:eastAsia="Arial" w:cs="Arial"/>
          <w:lang w:eastAsia="en-GB"/>
        </w:rPr>
        <w:t>to RAN2 to decide.</w:t>
      </w:r>
    </w:p>
    <w:p w14:paraId="49DFF3B6" w14:textId="78768245" w:rsidR="009104A7" w:rsidRPr="001B454B" w:rsidRDefault="009104A7" w:rsidP="009104A7">
      <w:pPr>
        <w:pStyle w:val="Proposal"/>
      </w:pPr>
      <w:bookmarkStart w:id="93" w:name="_Toc16871155"/>
      <w:r>
        <w:t xml:space="preserve">TX UE triggers RSRP reporting and RX UE reports back L3 filtered RSRP. </w:t>
      </w:r>
      <w:r w:rsidRPr="006D27E5">
        <w:t>In case of changes in the power of the RS used for RSRP measurement, the TX UE trigger</w:t>
      </w:r>
      <w:r>
        <w:t>s</w:t>
      </w:r>
      <w:r w:rsidRPr="006D27E5">
        <w:t xml:space="preserve"> a new request for RSRP report</w:t>
      </w:r>
      <w:r>
        <w:t>.</w:t>
      </w:r>
      <w:bookmarkEnd w:id="93"/>
    </w:p>
    <w:p w14:paraId="2F955AF8" w14:textId="77777777" w:rsidR="00FD5870" w:rsidRPr="001B454B" w:rsidRDefault="00FD5870" w:rsidP="00DC2D14">
      <w:pPr>
        <w:pStyle w:val="Proposal"/>
        <w:rPr>
          <w:lang w:eastAsia="en-GB"/>
        </w:rPr>
      </w:pPr>
      <w:bookmarkStart w:id="94" w:name="_Toc7704263"/>
      <w:bookmarkStart w:id="95" w:name="_Toc7795359"/>
      <w:bookmarkStart w:id="96" w:name="_Toc16871156"/>
      <w:r w:rsidRPr="001B454B">
        <w:t>RSRP report can be conveyed either by an RRC message or MAC CE. It is up</w:t>
      </w:r>
      <w:r>
        <w:t xml:space="preserve"> </w:t>
      </w:r>
      <w:r w:rsidRPr="001B454B">
        <w:t>to RAN2 to decide.</w:t>
      </w:r>
      <w:bookmarkEnd w:id="94"/>
      <w:bookmarkEnd w:id="95"/>
      <w:bookmarkEnd w:id="96"/>
      <w:r w:rsidRPr="001B454B">
        <w:t xml:space="preserve"> </w:t>
      </w:r>
      <w:r w:rsidRPr="001B454B" w:rsidDel="005B026F">
        <w:rPr>
          <w:lang w:eastAsia="en-GB"/>
        </w:rPr>
        <w:t xml:space="preserve"> </w:t>
      </w:r>
    </w:p>
    <w:p w14:paraId="0FCFAB5F" w14:textId="77777777" w:rsidR="00FD5870" w:rsidRPr="001B454B" w:rsidRDefault="00FD5870" w:rsidP="00FD5870">
      <w:pPr>
        <w:jc w:val="both"/>
        <w:rPr>
          <w:rFonts w:eastAsia="Arial" w:cs="Arial"/>
          <w:lang w:eastAsia="en-GB"/>
        </w:rPr>
      </w:pPr>
      <w:r w:rsidRPr="001B454B">
        <w:rPr>
          <w:rFonts w:eastAsia="Arial" w:cs="Arial"/>
          <w:lang w:eastAsia="en-GB"/>
        </w:rPr>
        <w:t xml:space="preserve">Regarding the SL reference signal to be used by the RX UE to measure RSRP, DMRS is preferred over SCSI-RS as it is always present on the PSSCH/PSCCH. </w:t>
      </w:r>
    </w:p>
    <w:p w14:paraId="2CEE15BC" w14:textId="77777777" w:rsidR="00FD5870" w:rsidRPr="001B454B" w:rsidRDefault="00FD5870" w:rsidP="00A779B5">
      <w:pPr>
        <w:pStyle w:val="Proposal"/>
      </w:pPr>
      <w:bookmarkStart w:id="97" w:name="_Toc7704264"/>
      <w:bookmarkStart w:id="98" w:name="_Toc7795360"/>
      <w:bookmarkStart w:id="99" w:name="_Toc16871157"/>
      <w:r w:rsidRPr="001B454B">
        <w:t>DMRS is preferred to measure RSRP compared to SCSI-RS.</w:t>
      </w:r>
      <w:bookmarkEnd w:id="97"/>
      <w:bookmarkEnd w:id="98"/>
      <w:bookmarkEnd w:id="99"/>
    </w:p>
    <w:p w14:paraId="44C485F1" w14:textId="77777777" w:rsidR="009851E0" w:rsidRPr="009851E0" w:rsidRDefault="00FD5870" w:rsidP="009851E0">
      <w:pPr>
        <w:jc w:val="both"/>
        <w:rPr>
          <w:rFonts w:eastAsia="Arial" w:cs="Arial"/>
          <w:lang w:eastAsia="en-GB"/>
        </w:rPr>
      </w:pPr>
      <w:r w:rsidRPr="001B454B">
        <w:rPr>
          <w:rFonts w:eastAsia="Arial" w:cs="Arial"/>
          <w:lang w:eastAsia="en-GB"/>
        </w:rPr>
        <w:t xml:space="preserve">When SL RSRP is not yet available to the TX, power control is based only on the path loss between (in-coverage) TX UE and </w:t>
      </w:r>
      <w:proofErr w:type="spellStart"/>
      <w:r w:rsidRPr="001B454B">
        <w:rPr>
          <w:rFonts w:eastAsia="Arial" w:cs="Arial"/>
          <w:lang w:eastAsia="en-GB"/>
        </w:rPr>
        <w:t>gNB</w:t>
      </w:r>
      <w:proofErr w:type="spellEnd"/>
      <w:r>
        <w:rPr>
          <w:rFonts w:eastAsia="Arial" w:cs="Arial"/>
          <w:lang w:eastAsia="en-GB"/>
        </w:rPr>
        <w:t>.</w:t>
      </w:r>
    </w:p>
    <w:p w14:paraId="425354AE" w14:textId="16EA9CAF" w:rsidR="00EB6CA8" w:rsidRDefault="00EB6CA8" w:rsidP="00EB6CA8">
      <w:pPr>
        <w:jc w:val="both"/>
      </w:pPr>
      <w:r w:rsidRPr="008F7C93">
        <w:rPr>
          <w:rFonts w:eastAsia="Arial" w:cs="Arial"/>
        </w:rPr>
        <w:t xml:space="preserve">In the case of groupcast transmissions, a possible objective of power control is to </w:t>
      </w:r>
      <w:r w:rsidR="00263FA8" w:rsidRPr="008418EE">
        <w:rPr>
          <w:rFonts w:eastAsia="Arial" w:cs="Arial"/>
        </w:rPr>
        <w:t xml:space="preserve">balance </w:t>
      </w:r>
      <w:r w:rsidR="00DD5718" w:rsidRPr="008418EE">
        <w:rPr>
          <w:rFonts w:eastAsia="Arial" w:cs="Arial"/>
        </w:rPr>
        <w:t xml:space="preserve">between </w:t>
      </w:r>
      <w:r w:rsidR="001C1CBD" w:rsidRPr="008418EE">
        <w:rPr>
          <w:rFonts w:eastAsia="Arial" w:cs="Arial"/>
        </w:rPr>
        <w:t xml:space="preserve">enabling </w:t>
      </w:r>
      <w:proofErr w:type="gramStart"/>
      <w:r w:rsidR="001C1CBD" w:rsidRPr="008418EE">
        <w:rPr>
          <w:rFonts w:eastAsia="Arial" w:cs="Arial"/>
        </w:rPr>
        <w:t>a large</w:t>
      </w:r>
      <w:r w:rsidRPr="008F7C93">
        <w:rPr>
          <w:rFonts w:eastAsia="Arial" w:cs="Arial"/>
        </w:rPr>
        <w:t xml:space="preserve"> number of</w:t>
      </w:r>
      <w:proofErr w:type="gramEnd"/>
      <w:r w:rsidRPr="008F7C93">
        <w:rPr>
          <w:rFonts w:eastAsia="Arial" w:cs="Arial"/>
        </w:rPr>
        <w:t xml:space="preserve"> intended RX UEs that can successfully decode the message </w:t>
      </w:r>
      <w:r w:rsidR="00585CFF" w:rsidRPr="008418EE">
        <w:rPr>
          <w:rFonts w:eastAsia="Arial" w:cs="Arial"/>
        </w:rPr>
        <w:t xml:space="preserve">and </w:t>
      </w:r>
      <w:r w:rsidR="0029792B" w:rsidRPr="008418EE">
        <w:rPr>
          <w:rFonts w:eastAsia="Arial" w:cs="Arial"/>
        </w:rPr>
        <w:t xml:space="preserve">limiting </w:t>
      </w:r>
      <w:r w:rsidR="008D2512" w:rsidRPr="008418EE">
        <w:rPr>
          <w:rFonts w:eastAsia="Arial" w:cs="Arial"/>
        </w:rPr>
        <w:t xml:space="preserve">the </w:t>
      </w:r>
      <w:r w:rsidR="00010BBD" w:rsidRPr="008418EE">
        <w:rPr>
          <w:rFonts w:eastAsia="Arial" w:cs="Arial"/>
        </w:rPr>
        <w:t xml:space="preserve">interference </w:t>
      </w:r>
      <w:r w:rsidR="00792B4E" w:rsidRPr="008418EE">
        <w:rPr>
          <w:rFonts w:eastAsia="Arial" w:cs="Arial"/>
        </w:rPr>
        <w:t xml:space="preserve">caused at </w:t>
      </w:r>
      <w:r w:rsidR="008A4F52" w:rsidRPr="008418EE">
        <w:rPr>
          <w:rFonts w:eastAsia="Arial" w:cs="Arial"/>
        </w:rPr>
        <w:t>unintended RX UEs</w:t>
      </w:r>
      <w:r w:rsidRPr="008F7C93">
        <w:rPr>
          <w:rFonts w:eastAsia="Arial" w:cs="Arial"/>
        </w:rPr>
        <w:t>.</w:t>
      </w:r>
      <w:r w:rsidRPr="00B60539">
        <w:rPr>
          <w:rFonts w:eastAsia="Arial" w:cs="Arial"/>
        </w:rPr>
        <w:t xml:space="preserve"> Like in the unicast cast, if the pathloss between TX UE and each RX UE is considered for the power control mechanism, the TX UE will need to keep track of multiple RSRP feedbacks to calculate pathloss to each individual RX UE within the group. This would also require modifications to the power control expression detailed previously to include multiple RXs. Additionally, </w:t>
      </w:r>
      <w:r w:rsidRPr="00B60539">
        <w:t>sending RSRP measurements from multiple RX UEs may create high traffic load in the network</w:t>
      </w:r>
      <w:r>
        <w:t xml:space="preserve">. Furthermore, the half-duplex issue of the Tx UE will become more problematic, if it needs to receive all the RSRP feedbacks. Hence, </w:t>
      </w:r>
      <w:r w:rsidRPr="00B60539">
        <w:t>we believe that groupcast RX UEs should not feedback the RSRP measurement to the TX UE.</w:t>
      </w:r>
      <w:bookmarkStart w:id="100" w:name="_Toc4703189"/>
      <w:bookmarkStart w:id="101" w:name="_Toc5119276"/>
      <w:r>
        <w:t xml:space="preserve"> </w:t>
      </w:r>
    </w:p>
    <w:p w14:paraId="11E460CB" w14:textId="77777777" w:rsidR="00EB6CA8" w:rsidRPr="00633E35" w:rsidRDefault="00EB6CA8" w:rsidP="00EB6CA8">
      <w:pPr>
        <w:pStyle w:val="Proposal"/>
        <w:tabs>
          <w:tab w:val="num" w:pos="2438"/>
        </w:tabs>
        <w:overflowPunct/>
        <w:autoSpaceDE/>
        <w:autoSpaceDN/>
        <w:adjustRightInd/>
        <w:textAlignment w:val="auto"/>
      </w:pPr>
      <w:bookmarkStart w:id="102" w:name="_Toc7704286"/>
      <w:bookmarkStart w:id="103" w:name="_Toc7795383"/>
      <w:bookmarkStart w:id="104" w:name="_Toc16871158"/>
      <w:r w:rsidRPr="00633E35">
        <w:t>Groupcast RX UEs do not feedback SL-RSRP measurements to the TX UE.</w:t>
      </w:r>
      <w:bookmarkEnd w:id="100"/>
      <w:bookmarkEnd w:id="101"/>
      <w:bookmarkEnd w:id="102"/>
      <w:bookmarkEnd w:id="103"/>
      <w:bookmarkEnd w:id="104"/>
    </w:p>
    <w:p w14:paraId="01620D76" w14:textId="77777777" w:rsidR="00094F8A" w:rsidRDefault="00094F8A" w:rsidP="009104A7">
      <w:pPr>
        <w:jc w:val="both"/>
      </w:pPr>
      <w:r>
        <w:lastRenderedPageBreak/>
        <w:t xml:space="preserve">Instead the SL pathloss estimation required for open loop power control procedure is based on the communication range requirement specified by the service. </w:t>
      </w:r>
      <w:r w:rsidRPr="00B60539">
        <w:rPr>
          <w:rFonts w:eastAsia="Arial" w:cs="Arial"/>
        </w:rPr>
        <w:t>The Tx UE sets the transmission power such that the Rx UEs within this range are capable of successfully decoding the message while minimizing interference and maximizing energy efficiency.</w:t>
      </w:r>
      <w:r w:rsidRPr="000321B9">
        <w:rPr>
          <w:rFonts w:eastAsia="Arial" w:cs="Arial"/>
        </w:rPr>
        <w:t xml:space="preserve"> </w:t>
      </w:r>
    </w:p>
    <w:p w14:paraId="29AB26CF" w14:textId="77777777" w:rsidR="00716838" w:rsidRPr="00633E35" w:rsidRDefault="00716838" w:rsidP="00716838">
      <w:pPr>
        <w:pStyle w:val="Proposal"/>
        <w:tabs>
          <w:tab w:val="num" w:pos="2438"/>
        </w:tabs>
        <w:overflowPunct/>
        <w:autoSpaceDE/>
        <w:autoSpaceDN/>
        <w:adjustRightInd/>
        <w:textAlignment w:val="auto"/>
      </w:pPr>
      <w:bookmarkStart w:id="105" w:name="_Toc7704287"/>
      <w:bookmarkStart w:id="106" w:name="_Toc7795384"/>
      <w:bookmarkStart w:id="107" w:name="_Toc16871159"/>
      <w:r w:rsidRPr="00633E35">
        <w:t>Open loop SL power control for sidelink groupcast considers the communication range requirement.</w:t>
      </w:r>
      <w:bookmarkEnd w:id="105"/>
      <w:bookmarkEnd w:id="106"/>
      <w:bookmarkEnd w:id="107"/>
      <w:r w:rsidRPr="00633E35">
        <w:t xml:space="preserve"> </w:t>
      </w:r>
    </w:p>
    <w:p w14:paraId="25FC9CDB" w14:textId="418998C7" w:rsidR="009104A7" w:rsidRPr="00633117" w:rsidRDefault="009104A7" w:rsidP="009104A7">
      <w:pPr>
        <w:jc w:val="both"/>
      </w:pPr>
      <w:r w:rsidRPr="006C1424">
        <w:t xml:space="preserve">Based on RAN4 reply on the need of transient time for multiplexing options of PSCCH and PSSCH, </w:t>
      </w:r>
      <w:r w:rsidRPr="008F7C93">
        <w:t>transient period will be required</w:t>
      </w:r>
      <w:r w:rsidRPr="006C1424">
        <w:t xml:space="preserve"> whenever there is </w:t>
      </w:r>
      <w:r w:rsidR="009E13D1" w:rsidRPr="008F7C93">
        <w:t xml:space="preserve">a </w:t>
      </w:r>
      <w:r w:rsidRPr="006C1424">
        <w:t xml:space="preserve">change in total transmission power or different RB configuration [2]. </w:t>
      </w:r>
      <w:r>
        <w:t>A</w:t>
      </w:r>
      <w:r w:rsidRPr="00633117">
        <w:t xml:space="preserve"> </w:t>
      </w:r>
      <w:r>
        <w:t xml:space="preserve">power boosting mechanism for better PSCCH coverage </w:t>
      </w:r>
      <w:r w:rsidR="00C169FB">
        <w:t>should be</w:t>
      </w:r>
      <w:r>
        <w:t xml:space="preserve"> supported provided that </w:t>
      </w:r>
      <w:r w:rsidRPr="008F7C93">
        <w:t>a transient period is not introduced by it.</w:t>
      </w:r>
    </w:p>
    <w:p w14:paraId="671A51BD" w14:textId="46BD8577" w:rsidR="009104A7" w:rsidRPr="0021114A" w:rsidRDefault="009104A7" w:rsidP="0021114A">
      <w:pPr>
        <w:pStyle w:val="Proposal"/>
        <w:tabs>
          <w:tab w:val="num" w:pos="2438"/>
        </w:tabs>
        <w:overflowPunct/>
        <w:autoSpaceDE/>
        <w:autoSpaceDN/>
        <w:adjustRightInd/>
        <w:textAlignment w:val="auto"/>
      </w:pPr>
      <w:bookmarkStart w:id="108" w:name="_Toc16871160"/>
      <w:r>
        <w:t xml:space="preserve">RAN1 to specify </w:t>
      </w:r>
      <w:r w:rsidR="00677606" w:rsidRPr="00677606">
        <w:t>methods</w:t>
      </w:r>
      <w:r>
        <w:t xml:space="preserve"> to </w:t>
      </w:r>
      <w:r w:rsidR="00677606" w:rsidRPr="00677606">
        <w:t>compensate for</w:t>
      </w:r>
      <w:r>
        <w:t xml:space="preserve"> PSCCH </w:t>
      </w:r>
      <w:r w:rsidR="00677606" w:rsidRPr="00677606">
        <w:t xml:space="preserve">performance loss </w:t>
      </w:r>
      <w:r>
        <w:t>when using power control.</w:t>
      </w:r>
      <w:bookmarkEnd w:id="108"/>
    </w:p>
    <w:p w14:paraId="28FA3BBC" w14:textId="638C34F3" w:rsidR="002820B0" w:rsidRPr="00CE0424" w:rsidRDefault="003C1A5C" w:rsidP="002820B0">
      <w:pPr>
        <w:pStyle w:val="Heading1"/>
      </w:pPr>
      <w:r>
        <w:t>7</w:t>
      </w:r>
      <w:r w:rsidR="002D1A50">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786966B6" w14:textId="77777777" w:rsidR="00F946B9"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6871161" w:history="1">
        <w:r w:rsidR="00F946B9" w:rsidRPr="007031B8">
          <w:rPr>
            <w:rStyle w:val="Hyperlink"/>
            <w:noProof/>
          </w:rPr>
          <w:t>Observation 1</w:t>
        </w:r>
        <w:r w:rsidR="00F946B9">
          <w:rPr>
            <w:rFonts w:asciiTheme="minorHAnsi" w:eastAsiaTheme="minorEastAsia" w:hAnsiTheme="minorHAnsi" w:cstheme="minorBidi"/>
            <w:b w:val="0"/>
            <w:noProof/>
            <w:sz w:val="22"/>
            <w:szCs w:val="22"/>
            <w:lang w:val="fi-FI" w:eastAsia="fi-FI"/>
          </w:rPr>
          <w:tab/>
        </w:r>
        <w:r w:rsidR="00F946B9" w:rsidRPr="007031B8">
          <w:rPr>
            <w:rStyle w:val="Hyperlink"/>
            <w:noProof/>
          </w:rPr>
          <w:t>For some scenarios, it can be beneficial to divided groupcast Rx UEs into subsets depending on their distances to the Tx UE. The different subsets use different PSFCH resources for sending HARQ feedbacks.</w:t>
        </w:r>
      </w:hyperlink>
    </w:p>
    <w:p w14:paraId="7E963FB6"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2" w:history="1">
        <w:r w:rsidRPr="007031B8">
          <w:rPr>
            <w:rStyle w:val="Hyperlink"/>
            <w:rFonts w:cs="Arial"/>
            <w:noProof/>
          </w:rPr>
          <w:t>Observation 2</w:t>
        </w:r>
        <w:r>
          <w:rPr>
            <w:rFonts w:asciiTheme="minorHAnsi" w:eastAsiaTheme="minorEastAsia" w:hAnsiTheme="minorHAnsi" w:cstheme="minorBidi"/>
            <w:b w:val="0"/>
            <w:noProof/>
            <w:sz w:val="22"/>
            <w:szCs w:val="22"/>
            <w:lang w:val="fi-FI" w:eastAsia="fi-FI"/>
          </w:rPr>
          <w:tab/>
        </w:r>
        <w:r w:rsidRPr="007031B8">
          <w:rPr>
            <w:rStyle w:val="Hyperlink"/>
            <w:rFonts w:eastAsia="Arial" w:cs="Arial"/>
            <w:noProof/>
          </w:rPr>
          <w:t>SL CSI report size is up to 9 bits for NR Rel-16.</w:t>
        </w:r>
      </w:hyperlink>
    </w:p>
    <w:p w14:paraId="65172306"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3" w:history="1">
        <w:r w:rsidRPr="007031B8">
          <w:rPr>
            <w:rStyle w:val="Hyperlink"/>
            <w:rFonts w:cs="Arial"/>
            <w:noProof/>
          </w:rPr>
          <w:t>Observation 3</w:t>
        </w:r>
        <w:r>
          <w:rPr>
            <w:rFonts w:asciiTheme="minorHAnsi" w:eastAsiaTheme="minorEastAsia" w:hAnsiTheme="minorHAnsi" w:cstheme="minorBidi"/>
            <w:b w:val="0"/>
            <w:noProof/>
            <w:sz w:val="22"/>
            <w:szCs w:val="22"/>
            <w:lang w:val="fi-FI" w:eastAsia="fi-FI"/>
          </w:rPr>
          <w:tab/>
        </w:r>
        <w:r w:rsidRPr="007031B8">
          <w:rPr>
            <w:rStyle w:val="Hyperlink"/>
            <w:rFonts w:eastAsia="Arial" w:cs="Arial"/>
            <w:noProof/>
          </w:rPr>
          <w:t>For carrying CSI report over sidelink, MAC CE is more flexible compared to RRC.</w:t>
        </w:r>
      </w:hyperlink>
    </w:p>
    <w:p w14:paraId="43A78B66"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4" w:history="1">
        <w:r w:rsidRPr="007031B8">
          <w:rPr>
            <w:rStyle w:val="Hyperlink"/>
            <w:rFonts w:eastAsia="Arial" w:cs="Arial"/>
            <w:noProof/>
          </w:rPr>
          <w:t>Observation 4</w:t>
        </w:r>
        <w:r>
          <w:rPr>
            <w:rFonts w:asciiTheme="minorHAnsi" w:eastAsiaTheme="minorEastAsia" w:hAnsiTheme="minorHAnsi" w:cstheme="minorBidi"/>
            <w:b w:val="0"/>
            <w:noProof/>
            <w:sz w:val="22"/>
            <w:szCs w:val="22"/>
            <w:lang w:val="fi-FI" w:eastAsia="fi-FI"/>
          </w:rPr>
          <w:tab/>
        </w:r>
        <w:r w:rsidRPr="007031B8">
          <w:rPr>
            <w:rStyle w:val="Hyperlink"/>
            <w:rFonts w:eastAsia="Arial" w:cs="Arial"/>
            <w:noProof/>
          </w:rPr>
          <w:t>The applicability of RPS for each of the array configuration is FFS and RPS method may have to be restricted to specific array configurations.</w:t>
        </w:r>
      </w:hyperlink>
    </w:p>
    <w:p w14:paraId="0D9BA951"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5" w:history="1">
        <w:r w:rsidRPr="007031B8">
          <w:rPr>
            <w:rStyle w:val="Hyperlink"/>
            <w:rFonts w:eastAsia="Arial" w:cs="Arial"/>
            <w:noProof/>
          </w:rPr>
          <w:t>Observation 5</w:t>
        </w:r>
        <w:r>
          <w:rPr>
            <w:rFonts w:asciiTheme="minorHAnsi" w:eastAsiaTheme="minorEastAsia" w:hAnsiTheme="minorHAnsi" w:cstheme="minorBidi"/>
            <w:b w:val="0"/>
            <w:noProof/>
            <w:sz w:val="22"/>
            <w:szCs w:val="22"/>
            <w:lang w:val="fi-FI" w:eastAsia="fi-FI"/>
          </w:rPr>
          <w:tab/>
        </w:r>
        <w:r w:rsidRPr="007031B8">
          <w:rPr>
            <w:rStyle w:val="Hyperlink"/>
            <w:rFonts w:eastAsia="Arial" w:cs="Arial"/>
            <w:noProof/>
          </w:rPr>
          <w:t>It is beneficial to schedule a CSI-RS transmission to allow the determination of RI using measurements of non-precoded channel.</w:t>
        </w:r>
      </w:hyperlink>
    </w:p>
    <w:p w14:paraId="27BB3310"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6" w:history="1">
        <w:r w:rsidRPr="007031B8">
          <w:rPr>
            <w:rStyle w:val="Hyperlink"/>
            <w:rFonts w:eastAsia="Arial" w:cs="Arial"/>
            <w:noProof/>
          </w:rPr>
          <w:t>Observation 6</w:t>
        </w:r>
        <w:r>
          <w:rPr>
            <w:rFonts w:asciiTheme="minorHAnsi" w:eastAsiaTheme="minorEastAsia" w:hAnsiTheme="minorHAnsi" w:cstheme="minorBidi"/>
            <w:b w:val="0"/>
            <w:noProof/>
            <w:sz w:val="22"/>
            <w:szCs w:val="22"/>
            <w:lang w:val="fi-FI" w:eastAsia="fi-FI"/>
          </w:rPr>
          <w:tab/>
        </w:r>
        <w:r w:rsidRPr="007031B8">
          <w:rPr>
            <w:rStyle w:val="Hyperlink"/>
            <w:rFonts w:eastAsia="Arial" w:cs="Arial"/>
            <w:noProof/>
          </w:rPr>
          <w:t>It is beneficial to fix the PCP to retain the applicability of the reported CQI in the slots following a CSI report.</w:t>
        </w:r>
      </w:hyperlink>
    </w:p>
    <w:p w14:paraId="53A2ADD9"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7" w:history="1">
        <w:r w:rsidRPr="007031B8">
          <w:rPr>
            <w:rStyle w:val="Hyperlink"/>
            <w:rFonts w:eastAsia="Arial" w:cs="Arial"/>
            <w:noProof/>
          </w:rPr>
          <w:t>Observation 7</w:t>
        </w:r>
        <w:r>
          <w:rPr>
            <w:rFonts w:asciiTheme="minorHAnsi" w:eastAsiaTheme="minorEastAsia" w:hAnsiTheme="minorHAnsi" w:cstheme="minorBidi"/>
            <w:b w:val="0"/>
            <w:noProof/>
            <w:sz w:val="22"/>
            <w:szCs w:val="22"/>
            <w:lang w:val="fi-FI" w:eastAsia="fi-FI"/>
          </w:rPr>
          <w:tab/>
        </w:r>
        <w:r w:rsidRPr="007031B8">
          <w:rPr>
            <w:rStyle w:val="Hyperlink"/>
            <w:rFonts w:eastAsia="Arial" w:cs="Arial"/>
            <w:noProof/>
          </w:rPr>
          <w:t>When the PCP for each rank are known at a receiver, it is possible to determine the [RI, CQI] pair considering the effects of RPS.</w:t>
        </w:r>
      </w:hyperlink>
    </w:p>
    <w:p w14:paraId="4A8B9BDC" w14:textId="77F9D717"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F9CF705" w14:textId="77777777" w:rsidR="00F946B9"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1125" w:history="1">
        <w:r w:rsidR="00F946B9" w:rsidRPr="00A517F6">
          <w:rPr>
            <w:rStyle w:val="Hyperlink"/>
            <w:noProof/>
          </w:rPr>
          <w:t>Proposal 1</w:t>
        </w:r>
        <w:r w:rsidR="00F946B9">
          <w:rPr>
            <w:rFonts w:asciiTheme="minorHAnsi" w:eastAsiaTheme="minorEastAsia" w:hAnsiTheme="minorHAnsi" w:cstheme="minorBidi"/>
            <w:b w:val="0"/>
            <w:noProof/>
            <w:sz w:val="22"/>
            <w:szCs w:val="22"/>
            <w:lang w:val="fi-FI" w:eastAsia="fi-FI"/>
          </w:rPr>
          <w:tab/>
        </w:r>
        <w:r w:rsidR="00F946B9" w:rsidRPr="00A517F6">
          <w:rPr>
            <w:rStyle w:val="Hyperlink"/>
            <w:noProof/>
          </w:rPr>
          <w:t>In case of NR V2X broadcast, source and destination IDs are conveyed only in MAC sub-header as in LTE V2X.</w:t>
        </w:r>
      </w:hyperlink>
    </w:p>
    <w:p w14:paraId="53BD62E4"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26" w:history="1">
        <w:r w:rsidRPr="00A517F6">
          <w:rPr>
            <w:rStyle w:val="Hyperlink"/>
            <w:noProof/>
            <w:lang w:val="en-US"/>
          </w:rPr>
          <w:t>Proposal 2</w:t>
        </w:r>
        <w:r>
          <w:rPr>
            <w:rFonts w:asciiTheme="minorHAnsi" w:eastAsiaTheme="minorEastAsia" w:hAnsiTheme="minorHAnsi" w:cstheme="minorBidi"/>
            <w:b w:val="0"/>
            <w:noProof/>
            <w:sz w:val="22"/>
            <w:szCs w:val="22"/>
            <w:lang w:val="fi-FI" w:eastAsia="fi-FI"/>
          </w:rPr>
          <w:tab/>
        </w:r>
        <w:r w:rsidRPr="00A517F6">
          <w:rPr>
            <w:rStyle w:val="Hyperlink"/>
            <w:noProof/>
            <w:lang w:val="en-US"/>
          </w:rPr>
          <w:t>In case of NR V2X unicast and groupcast, L2 determines L1 IDs based on given full L2 source/destination IDs from the upper layers.</w:t>
        </w:r>
      </w:hyperlink>
    </w:p>
    <w:p w14:paraId="2387AA22"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27" w:history="1">
        <w:r w:rsidRPr="00A517F6">
          <w:rPr>
            <w:rStyle w:val="Hyperlink"/>
            <w:noProof/>
            <w:lang w:val="en-US"/>
          </w:rPr>
          <w:t>Proposal 3</w:t>
        </w:r>
        <w:r>
          <w:rPr>
            <w:rFonts w:asciiTheme="minorHAnsi" w:eastAsiaTheme="minorEastAsia" w:hAnsiTheme="minorHAnsi" w:cstheme="minorBidi"/>
            <w:b w:val="0"/>
            <w:noProof/>
            <w:sz w:val="22"/>
            <w:szCs w:val="22"/>
            <w:lang w:val="fi-FI" w:eastAsia="fi-FI"/>
          </w:rPr>
          <w:tab/>
        </w:r>
        <w:r w:rsidRPr="00A517F6">
          <w:rPr>
            <w:rStyle w:val="Hyperlink"/>
            <w:noProof/>
            <w:lang w:val="en-US"/>
          </w:rPr>
          <w:t>With a given full source/destination ID, only portion of L1 source/destination ID is conveyed in SCI, whereas the rest of the portion is conveyed in MAC sub-header as L2 source/destination ID. For example, SCI carrier 16 bits of destination ID and 8 bits of source ID.</w:t>
        </w:r>
      </w:hyperlink>
    </w:p>
    <w:p w14:paraId="2696A402"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28" w:history="1">
        <w:r w:rsidRPr="00A517F6">
          <w:rPr>
            <w:rStyle w:val="Hyperlink"/>
            <w:noProof/>
          </w:rPr>
          <w:t>Proposal 4</w:t>
        </w:r>
        <w:r>
          <w:rPr>
            <w:rFonts w:asciiTheme="minorHAnsi" w:eastAsiaTheme="minorEastAsia" w:hAnsiTheme="minorHAnsi" w:cstheme="minorBidi"/>
            <w:b w:val="0"/>
            <w:noProof/>
            <w:sz w:val="22"/>
            <w:szCs w:val="22"/>
            <w:lang w:val="fi-FI" w:eastAsia="fi-FI"/>
          </w:rPr>
          <w:tab/>
        </w:r>
        <w:r w:rsidRPr="00A517F6">
          <w:rPr>
            <w:rStyle w:val="Hyperlink"/>
            <w:noProof/>
          </w:rPr>
          <w:t>Resolution of Layer 1 IDs’ collision is left up to UE implementation and no procedure is defined in RAN1 specification.</w:t>
        </w:r>
      </w:hyperlink>
    </w:p>
    <w:p w14:paraId="7C1EA967"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29" w:history="1">
        <w:r w:rsidRPr="00A517F6">
          <w:rPr>
            <w:rStyle w:val="Hyperlink"/>
            <w:noProof/>
          </w:rPr>
          <w:t>Proposal 5</w:t>
        </w:r>
        <w:r>
          <w:rPr>
            <w:rFonts w:asciiTheme="minorHAnsi" w:eastAsiaTheme="minorEastAsia" w:hAnsiTheme="minorHAnsi" w:cstheme="minorBidi"/>
            <w:b w:val="0"/>
            <w:noProof/>
            <w:sz w:val="22"/>
            <w:szCs w:val="22"/>
            <w:lang w:val="fi-FI" w:eastAsia="fi-FI"/>
          </w:rPr>
          <w:tab/>
        </w:r>
        <w:r w:rsidRPr="00A517F6">
          <w:rPr>
            <w:rStyle w:val="Hyperlink"/>
            <w:noProof/>
          </w:rPr>
          <w:t>Study enabling/disabling of HARQ feedback as a part of QoS framework</w:t>
        </w:r>
        <w:r w:rsidRPr="00A517F6">
          <w:rPr>
            <w:rStyle w:val="Hyperlink"/>
            <w:rFonts w:eastAsia="Arial" w:cs="Arial"/>
            <w:noProof/>
          </w:rPr>
          <w:t>. Details up to RAN2.</w:t>
        </w:r>
      </w:hyperlink>
    </w:p>
    <w:p w14:paraId="3F55DBF7"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30" w:history="1">
        <w:r w:rsidRPr="00A517F6">
          <w:rPr>
            <w:rStyle w:val="Hyperlink"/>
            <w:noProof/>
          </w:rPr>
          <w:t>Proposal 6</w:t>
        </w:r>
        <w:r>
          <w:rPr>
            <w:rFonts w:asciiTheme="minorHAnsi" w:eastAsiaTheme="minorEastAsia" w:hAnsiTheme="minorHAnsi" w:cstheme="minorBidi"/>
            <w:b w:val="0"/>
            <w:noProof/>
            <w:sz w:val="22"/>
            <w:szCs w:val="22"/>
            <w:lang w:val="fi-FI" w:eastAsia="fi-FI"/>
          </w:rPr>
          <w:tab/>
        </w:r>
        <w:r w:rsidRPr="00A517F6">
          <w:rPr>
            <w:rStyle w:val="Hyperlink"/>
            <w:noProof/>
          </w:rPr>
          <w:t>SCI carries a field indicating the presence of the corresponding HARQ feedback i.e. ACK or NACK based on PSSCH decoding outcome.</w:t>
        </w:r>
      </w:hyperlink>
    </w:p>
    <w:p w14:paraId="5BE45CD5"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31" w:history="1">
        <w:r w:rsidRPr="00A517F6">
          <w:rPr>
            <w:rStyle w:val="Hyperlink"/>
            <w:noProof/>
          </w:rPr>
          <w:t>Proposal 7</w:t>
        </w:r>
        <w:r>
          <w:rPr>
            <w:rFonts w:asciiTheme="minorHAnsi" w:eastAsiaTheme="minorEastAsia" w:hAnsiTheme="minorHAnsi" w:cstheme="minorBidi"/>
            <w:b w:val="0"/>
            <w:noProof/>
            <w:sz w:val="22"/>
            <w:szCs w:val="22"/>
            <w:lang w:val="fi-FI" w:eastAsia="fi-FI"/>
          </w:rPr>
          <w:tab/>
        </w:r>
        <w:r w:rsidRPr="00A517F6">
          <w:rPr>
            <w:rStyle w:val="Hyperlink"/>
            <w:noProof/>
          </w:rPr>
          <w:t>Geographical coordinate is used to represent location information. TX UE’s location can be sent jointly via PC5-RRC and SCI. A RX UE stores a mapping between Tx UEs’ L1 source IDs and their respective locations.</w:t>
        </w:r>
      </w:hyperlink>
    </w:p>
    <w:p w14:paraId="62CA49DE"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32" w:history="1">
        <w:r w:rsidRPr="00A517F6">
          <w:rPr>
            <w:rStyle w:val="Hyperlink"/>
            <w:noProof/>
          </w:rPr>
          <w:t>Proposal 8</w:t>
        </w:r>
        <w:r>
          <w:rPr>
            <w:rFonts w:asciiTheme="minorHAnsi" w:eastAsiaTheme="minorEastAsia" w:hAnsiTheme="minorHAnsi" w:cstheme="minorBidi"/>
            <w:b w:val="0"/>
            <w:noProof/>
            <w:sz w:val="22"/>
            <w:szCs w:val="22"/>
            <w:lang w:val="fi-FI" w:eastAsia="fi-FI"/>
          </w:rPr>
          <w:tab/>
        </w:r>
        <w:r w:rsidRPr="00A517F6">
          <w:rPr>
            <w:rStyle w:val="Hyperlink"/>
            <w:noProof/>
          </w:rPr>
          <w:t>For sidelink groupcast, both distance and RSRP based HARQ feedback criteria are supported and can be (pre-)configured.</w:t>
        </w:r>
      </w:hyperlink>
    </w:p>
    <w:p w14:paraId="0580B879"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33" w:history="1">
        <w:r w:rsidRPr="00A517F6">
          <w:rPr>
            <w:rStyle w:val="Hyperlink"/>
            <w:noProof/>
          </w:rPr>
          <w:t>Proposal 9</w:t>
        </w:r>
        <w:r>
          <w:rPr>
            <w:rFonts w:asciiTheme="minorHAnsi" w:eastAsiaTheme="minorEastAsia" w:hAnsiTheme="minorHAnsi" w:cstheme="minorBidi"/>
            <w:b w:val="0"/>
            <w:noProof/>
            <w:sz w:val="22"/>
            <w:szCs w:val="22"/>
            <w:lang w:val="fi-FI" w:eastAsia="fi-FI"/>
          </w:rPr>
          <w:tab/>
        </w:r>
        <w:r w:rsidRPr="00A517F6">
          <w:rPr>
            <w:rStyle w:val="Hyperlink"/>
            <w:noProof/>
          </w:rPr>
          <w:t>Support at least K=2 for all SCS. FFS K=1 for 15kHz and 30kHz.</w:t>
        </w:r>
      </w:hyperlink>
    </w:p>
    <w:p w14:paraId="36319FDF"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34" w:history="1">
        <w:r w:rsidRPr="00A517F6">
          <w:rPr>
            <w:rStyle w:val="Hyperlink"/>
            <w:noProof/>
          </w:rPr>
          <w:t>Proposal 10</w:t>
        </w:r>
        <w:r>
          <w:rPr>
            <w:rFonts w:asciiTheme="minorHAnsi" w:eastAsiaTheme="minorEastAsia" w:hAnsiTheme="minorHAnsi" w:cstheme="minorBidi"/>
            <w:b w:val="0"/>
            <w:noProof/>
            <w:sz w:val="22"/>
            <w:szCs w:val="22"/>
            <w:lang w:val="fi-FI" w:eastAsia="fi-FI"/>
          </w:rPr>
          <w:tab/>
        </w:r>
        <w:r w:rsidRPr="00A517F6">
          <w:rPr>
            <w:rStyle w:val="Hyperlink"/>
            <w:rFonts w:eastAsia="Arial" w:cs="Arial"/>
            <w:noProof/>
          </w:rPr>
          <w:t>For sidelink unicast,</w:t>
        </w:r>
        <w:r w:rsidRPr="00A517F6">
          <w:rPr>
            <w:rStyle w:val="Hyperlink"/>
            <w:noProof/>
          </w:rPr>
          <w:t xml:space="preserve"> </w:t>
        </w:r>
        <w:r w:rsidRPr="00A517F6">
          <w:rPr>
            <w:rStyle w:val="Hyperlink"/>
            <w:rFonts w:eastAsia="Arial" w:cs="Arial"/>
            <w:noProof/>
          </w:rPr>
          <w:t>PSFCH resource (RB, code) = function (PSSCH subchannel, TX UE’s L1 source ID, decoding outcome).</w:t>
        </w:r>
      </w:hyperlink>
    </w:p>
    <w:p w14:paraId="28CF0468"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35" w:history="1">
        <w:r w:rsidRPr="00A517F6">
          <w:rPr>
            <w:rStyle w:val="Hyperlink"/>
            <w:noProof/>
          </w:rPr>
          <w:t>a.</w:t>
        </w:r>
        <w:r>
          <w:rPr>
            <w:rFonts w:asciiTheme="minorHAnsi" w:eastAsiaTheme="minorEastAsia" w:hAnsiTheme="minorHAnsi" w:cstheme="minorBidi"/>
            <w:b w:val="0"/>
            <w:noProof/>
            <w:sz w:val="22"/>
            <w:szCs w:val="22"/>
            <w:lang w:val="fi-FI" w:eastAsia="fi-FI"/>
          </w:rPr>
          <w:tab/>
        </w:r>
        <w:r w:rsidRPr="00A517F6">
          <w:rPr>
            <w:rStyle w:val="Hyperlink"/>
            <w:noProof/>
          </w:rPr>
          <w:t>The used RB is confined within the subchannel of the associated PSSCH transmission.</w:t>
        </w:r>
      </w:hyperlink>
    </w:p>
    <w:p w14:paraId="28E8CDD1"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36" w:history="1">
        <w:r w:rsidRPr="00A517F6">
          <w:rPr>
            <w:rStyle w:val="Hyperlink"/>
            <w:noProof/>
          </w:rPr>
          <w:t>b.</w:t>
        </w:r>
        <w:r>
          <w:rPr>
            <w:rFonts w:asciiTheme="minorHAnsi" w:eastAsiaTheme="minorEastAsia" w:hAnsiTheme="minorHAnsi" w:cstheme="minorBidi"/>
            <w:b w:val="0"/>
            <w:noProof/>
            <w:sz w:val="22"/>
            <w:szCs w:val="22"/>
            <w:lang w:val="fi-FI" w:eastAsia="fi-FI"/>
          </w:rPr>
          <w:tab/>
        </w:r>
        <w:r w:rsidRPr="00A517F6">
          <w:rPr>
            <w:rStyle w:val="Hyperlink"/>
            <w:noProof/>
          </w:rPr>
          <w:t>ACK and NACK are transmitted using different RBs within the subchannel.</w:t>
        </w:r>
      </w:hyperlink>
    </w:p>
    <w:p w14:paraId="062CA212"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37" w:history="1">
        <w:r w:rsidRPr="00A517F6">
          <w:rPr>
            <w:rStyle w:val="Hyperlink"/>
            <w:noProof/>
          </w:rPr>
          <w:t>c.</w:t>
        </w:r>
        <w:r>
          <w:rPr>
            <w:rFonts w:asciiTheme="minorHAnsi" w:eastAsiaTheme="minorEastAsia" w:hAnsiTheme="minorHAnsi" w:cstheme="minorBidi"/>
            <w:b w:val="0"/>
            <w:noProof/>
            <w:sz w:val="22"/>
            <w:szCs w:val="22"/>
            <w:lang w:val="fi-FI" w:eastAsia="fi-FI"/>
          </w:rPr>
          <w:tab/>
        </w:r>
        <w:r w:rsidRPr="00A517F6">
          <w:rPr>
            <w:rStyle w:val="Hyperlink"/>
            <w:noProof/>
          </w:rPr>
          <w:t>The used code is selected by TX UE’s L1 source ID.</w:t>
        </w:r>
      </w:hyperlink>
    </w:p>
    <w:p w14:paraId="79524987"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38" w:history="1">
        <w:r w:rsidRPr="00A517F6">
          <w:rPr>
            <w:rStyle w:val="Hyperlink"/>
            <w:noProof/>
          </w:rPr>
          <w:t>Proposal 11</w:t>
        </w:r>
        <w:r>
          <w:rPr>
            <w:rFonts w:asciiTheme="minorHAnsi" w:eastAsiaTheme="minorEastAsia" w:hAnsiTheme="minorHAnsi" w:cstheme="minorBidi"/>
            <w:b w:val="0"/>
            <w:noProof/>
            <w:sz w:val="22"/>
            <w:szCs w:val="22"/>
            <w:lang w:val="fi-FI" w:eastAsia="fi-FI"/>
          </w:rPr>
          <w:tab/>
        </w:r>
        <w:r w:rsidRPr="00A517F6">
          <w:rPr>
            <w:rStyle w:val="Hyperlink"/>
            <w:rFonts w:eastAsia="Arial" w:cs="Arial"/>
            <w:noProof/>
          </w:rPr>
          <w:t>For sidelink groupcast,</w:t>
        </w:r>
        <w:r w:rsidRPr="00A517F6">
          <w:rPr>
            <w:rStyle w:val="Hyperlink"/>
            <w:noProof/>
          </w:rPr>
          <w:t xml:space="preserve"> </w:t>
        </w:r>
        <w:r w:rsidRPr="00A517F6">
          <w:rPr>
            <w:rStyle w:val="Hyperlink"/>
            <w:rFonts w:eastAsia="Arial" w:cs="Arial"/>
            <w:noProof/>
          </w:rPr>
          <w:t>PSFCH resource (RB, code) = function (PSSCH subchannel, TX UE’s L1 source ID, decoding outcome, RX UE’s source ID).</w:t>
        </w:r>
      </w:hyperlink>
    </w:p>
    <w:p w14:paraId="64DBBAB3"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39" w:history="1">
        <w:r w:rsidRPr="00A517F6">
          <w:rPr>
            <w:rStyle w:val="Hyperlink"/>
            <w:noProof/>
          </w:rPr>
          <w:t>a.</w:t>
        </w:r>
        <w:r>
          <w:rPr>
            <w:rFonts w:asciiTheme="minorHAnsi" w:eastAsiaTheme="minorEastAsia" w:hAnsiTheme="minorHAnsi" w:cstheme="minorBidi"/>
            <w:b w:val="0"/>
            <w:noProof/>
            <w:sz w:val="22"/>
            <w:szCs w:val="22"/>
            <w:lang w:val="fi-FI" w:eastAsia="fi-FI"/>
          </w:rPr>
          <w:tab/>
        </w:r>
        <w:r w:rsidRPr="00A517F6">
          <w:rPr>
            <w:rStyle w:val="Hyperlink"/>
            <w:noProof/>
          </w:rPr>
          <w:t>The used RB is confined within the subchannel of the associated PSSCH transmission.</w:t>
        </w:r>
      </w:hyperlink>
    </w:p>
    <w:p w14:paraId="5C964C34"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40" w:history="1">
        <w:r w:rsidRPr="00A517F6">
          <w:rPr>
            <w:rStyle w:val="Hyperlink"/>
            <w:noProof/>
          </w:rPr>
          <w:t>b.</w:t>
        </w:r>
        <w:r>
          <w:rPr>
            <w:rFonts w:asciiTheme="minorHAnsi" w:eastAsiaTheme="minorEastAsia" w:hAnsiTheme="minorHAnsi" w:cstheme="minorBidi"/>
            <w:b w:val="0"/>
            <w:noProof/>
            <w:sz w:val="22"/>
            <w:szCs w:val="22"/>
            <w:lang w:val="fi-FI" w:eastAsia="fi-FI"/>
          </w:rPr>
          <w:tab/>
        </w:r>
        <w:r w:rsidRPr="00A517F6">
          <w:rPr>
            <w:rStyle w:val="Hyperlink"/>
            <w:noProof/>
          </w:rPr>
          <w:t>ACK and NACK transmissions are FDM multiplexed.</w:t>
        </w:r>
      </w:hyperlink>
    </w:p>
    <w:p w14:paraId="0CF6454E"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41" w:history="1">
        <w:r w:rsidRPr="00A517F6">
          <w:rPr>
            <w:rStyle w:val="Hyperlink"/>
            <w:noProof/>
          </w:rPr>
          <w:t>c.</w:t>
        </w:r>
        <w:r>
          <w:rPr>
            <w:rFonts w:asciiTheme="minorHAnsi" w:eastAsiaTheme="minorEastAsia" w:hAnsiTheme="minorHAnsi" w:cstheme="minorBidi"/>
            <w:b w:val="0"/>
            <w:noProof/>
            <w:sz w:val="22"/>
            <w:szCs w:val="22"/>
            <w:lang w:val="fi-FI" w:eastAsia="fi-FI"/>
          </w:rPr>
          <w:tab/>
        </w:r>
        <w:r w:rsidRPr="00A517F6">
          <w:rPr>
            <w:rStyle w:val="Hyperlink"/>
            <w:noProof/>
          </w:rPr>
          <w:t>The base sequence of the used codes is selected by TX UE’s L1 source ID.</w:t>
        </w:r>
      </w:hyperlink>
    </w:p>
    <w:p w14:paraId="5ECD6FB7" w14:textId="77777777" w:rsidR="00F946B9" w:rsidRDefault="00F946B9" w:rsidP="00F946B9">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1142" w:history="1">
        <w:r w:rsidRPr="00A517F6">
          <w:rPr>
            <w:rStyle w:val="Hyperlink"/>
            <w:noProof/>
          </w:rPr>
          <w:t>d.</w:t>
        </w:r>
        <w:r>
          <w:rPr>
            <w:rFonts w:asciiTheme="minorHAnsi" w:eastAsiaTheme="minorEastAsia" w:hAnsiTheme="minorHAnsi" w:cstheme="minorBidi"/>
            <w:b w:val="0"/>
            <w:noProof/>
            <w:sz w:val="22"/>
            <w:szCs w:val="22"/>
            <w:lang w:val="fi-FI" w:eastAsia="fi-FI"/>
          </w:rPr>
          <w:tab/>
        </w:r>
        <w:r w:rsidRPr="00A517F6">
          <w:rPr>
            <w:rStyle w:val="Hyperlink"/>
            <w:noProof/>
          </w:rPr>
          <w:t>The cyclic shift applied to the base sequence is selected by RX UE’s ID.</w:t>
        </w:r>
      </w:hyperlink>
    </w:p>
    <w:p w14:paraId="0A43AA08"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3" w:history="1">
        <w:r w:rsidRPr="00A517F6">
          <w:rPr>
            <w:rStyle w:val="Hyperlink"/>
            <w:noProof/>
          </w:rPr>
          <w:t>Proposal 12</w:t>
        </w:r>
        <w:r>
          <w:rPr>
            <w:rFonts w:asciiTheme="minorHAnsi" w:eastAsiaTheme="minorEastAsia" w:hAnsiTheme="minorHAnsi" w:cstheme="minorBidi"/>
            <w:b w:val="0"/>
            <w:noProof/>
            <w:sz w:val="22"/>
            <w:szCs w:val="22"/>
            <w:lang w:val="fi-FI" w:eastAsia="fi-FI"/>
          </w:rPr>
          <w:tab/>
        </w:r>
        <w:r w:rsidRPr="00A517F6">
          <w:rPr>
            <w:rStyle w:val="Hyperlink"/>
            <w:noProof/>
          </w:rPr>
          <w:t>For groupcast option 1, support that a subset of the receiver UEs share a PSFCH.</w:t>
        </w:r>
      </w:hyperlink>
    </w:p>
    <w:p w14:paraId="60DEB39F"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4" w:history="1">
        <w:r w:rsidRPr="00A517F6">
          <w:rPr>
            <w:rStyle w:val="Hyperlink"/>
            <w:noProof/>
          </w:rPr>
          <w:t>Proposal 13</w:t>
        </w:r>
        <w:r>
          <w:rPr>
            <w:rFonts w:asciiTheme="minorHAnsi" w:eastAsiaTheme="minorEastAsia" w:hAnsiTheme="minorHAnsi" w:cstheme="minorBidi"/>
            <w:b w:val="0"/>
            <w:noProof/>
            <w:sz w:val="22"/>
            <w:szCs w:val="22"/>
            <w:lang w:val="fi-FI" w:eastAsia="fi-FI"/>
          </w:rPr>
          <w:tab/>
        </w:r>
        <w:r w:rsidRPr="00A517F6">
          <w:rPr>
            <w:rStyle w:val="Hyperlink"/>
            <w:noProof/>
          </w:rPr>
          <w:t>For groupcast option 2, support that all or a subset of receiver UEs share a PSFCH for ACK transmission and another PSFCH for NACK transmission.</w:t>
        </w:r>
      </w:hyperlink>
    </w:p>
    <w:p w14:paraId="5A9DB5E0"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5" w:history="1">
        <w:r w:rsidRPr="00A517F6">
          <w:rPr>
            <w:rStyle w:val="Hyperlink"/>
            <w:noProof/>
          </w:rPr>
          <w:t>Proposal 14</w:t>
        </w:r>
        <w:r>
          <w:rPr>
            <w:rFonts w:asciiTheme="minorHAnsi" w:eastAsiaTheme="minorEastAsia" w:hAnsiTheme="minorHAnsi" w:cstheme="minorBidi"/>
            <w:b w:val="0"/>
            <w:noProof/>
            <w:sz w:val="22"/>
            <w:szCs w:val="22"/>
            <w:lang w:val="fi-FI" w:eastAsia="fi-FI"/>
          </w:rPr>
          <w:tab/>
        </w:r>
        <w:r w:rsidRPr="00A517F6">
          <w:rPr>
            <w:rStyle w:val="Hyperlink"/>
            <w:noProof/>
          </w:rPr>
          <w:t>NR SL does not support a mixture of option 1 and option 2 for groupcast transmissions.</w:t>
        </w:r>
      </w:hyperlink>
    </w:p>
    <w:p w14:paraId="6F57276B"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6" w:history="1">
        <w:r w:rsidRPr="00A517F6">
          <w:rPr>
            <w:rStyle w:val="Hyperlink"/>
            <w:rFonts w:cs="Arial"/>
            <w:noProof/>
          </w:rPr>
          <w:t>Proposal 15</w:t>
        </w:r>
        <w:r>
          <w:rPr>
            <w:rFonts w:asciiTheme="minorHAnsi" w:eastAsiaTheme="minorEastAsia" w:hAnsiTheme="minorHAnsi" w:cstheme="minorBidi"/>
            <w:b w:val="0"/>
            <w:noProof/>
            <w:sz w:val="22"/>
            <w:szCs w:val="22"/>
            <w:lang w:val="fi-FI" w:eastAsia="fi-FI"/>
          </w:rPr>
          <w:tab/>
        </w:r>
        <w:r w:rsidRPr="00A517F6">
          <w:rPr>
            <w:rStyle w:val="Hyperlink"/>
            <w:noProof/>
          </w:rPr>
          <w:t>Restrictions on the retransmissions of TB are applied for both HARQ options for the purpose of congestion control.</w:t>
        </w:r>
      </w:hyperlink>
    </w:p>
    <w:p w14:paraId="7D9013ED"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7" w:history="1">
        <w:r w:rsidRPr="00A517F6">
          <w:rPr>
            <w:rStyle w:val="Hyperlink"/>
            <w:rFonts w:eastAsia="Arial"/>
            <w:noProof/>
          </w:rPr>
          <w:t>Proposal 16</w:t>
        </w:r>
        <w:r>
          <w:rPr>
            <w:rFonts w:asciiTheme="minorHAnsi" w:eastAsiaTheme="minorEastAsia" w:hAnsiTheme="minorHAnsi" w:cstheme="minorBidi"/>
            <w:b w:val="0"/>
            <w:noProof/>
            <w:sz w:val="22"/>
            <w:szCs w:val="22"/>
            <w:lang w:val="fi-FI" w:eastAsia="fi-FI"/>
          </w:rPr>
          <w:tab/>
        </w:r>
        <w:r w:rsidRPr="00A517F6">
          <w:rPr>
            <w:rStyle w:val="Hyperlink"/>
            <w:rFonts w:eastAsia="Arial"/>
            <w:noProof/>
          </w:rPr>
          <w:t>Prioritization is applied to handle the three possible cases of PSFCH transmission and reception</w:t>
        </w:r>
        <w:r w:rsidRPr="00A517F6">
          <w:rPr>
            <w:rStyle w:val="Hyperlink"/>
            <w:rFonts w:eastAsia="Arial" w:cs="Arial"/>
            <w:noProof/>
          </w:rPr>
          <w:t>, including PSFCH TX/RX overlap, PSFCH TX to multiple UEs, and PSFCH TX with multiple HARQ feedback to the same UE.</w:t>
        </w:r>
        <w:r w:rsidRPr="00A517F6">
          <w:rPr>
            <w:rStyle w:val="Hyperlink"/>
            <w:rFonts w:eastAsia="Arial"/>
            <w:noProof/>
          </w:rPr>
          <w:t xml:space="preserve"> FFS if the prioritization is based on (pre-)configured rules or up to UE implementation.</w:t>
        </w:r>
      </w:hyperlink>
    </w:p>
    <w:p w14:paraId="1B596635"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8" w:history="1">
        <w:r w:rsidRPr="00A517F6">
          <w:rPr>
            <w:rStyle w:val="Hyperlink"/>
            <w:noProof/>
          </w:rPr>
          <w:t>Proposal 17</w:t>
        </w:r>
        <w:r>
          <w:rPr>
            <w:rFonts w:asciiTheme="minorHAnsi" w:eastAsiaTheme="minorEastAsia" w:hAnsiTheme="minorHAnsi" w:cstheme="minorBidi"/>
            <w:b w:val="0"/>
            <w:noProof/>
            <w:sz w:val="22"/>
            <w:szCs w:val="22"/>
            <w:lang w:val="fi-FI" w:eastAsia="fi-FI"/>
          </w:rPr>
          <w:tab/>
        </w:r>
        <w:r w:rsidRPr="00A517F6">
          <w:rPr>
            <w:rStyle w:val="Hyperlink"/>
            <w:noProof/>
          </w:rPr>
          <w:t>One sidelink CSI report may include multiple CQIs associated with different RIs respectively.</w:t>
        </w:r>
      </w:hyperlink>
    </w:p>
    <w:p w14:paraId="4FB2C383"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49" w:history="1">
        <w:r w:rsidRPr="00A517F6">
          <w:rPr>
            <w:rStyle w:val="Hyperlink"/>
            <w:noProof/>
          </w:rPr>
          <w:t>Proposal 18</w:t>
        </w:r>
        <w:r>
          <w:rPr>
            <w:rFonts w:asciiTheme="minorHAnsi" w:eastAsiaTheme="minorEastAsia" w:hAnsiTheme="minorHAnsi" w:cstheme="minorBidi"/>
            <w:b w:val="0"/>
            <w:noProof/>
            <w:sz w:val="22"/>
            <w:szCs w:val="22"/>
            <w:lang w:val="fi-FI" w:eastAsia="fi-FI"/>
          </w:rPr>
          <w:tab/>
        </w:r>
        <w:r w:rsidRPr="00A517F6">
          <w:rPr>
            <w:rStyle w:val="Hyperlink"/>
            <w:noProof/>
          </w:rPr>
          <w:t>SL CSI report piggyback on PSSCH is not supported.</w:t>
        </w:r>
      </w:hyperlink>
    </w:p>
    <w:p w14:paraId="180364A4"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0" w:history="1">
        <w:r w:rsidRPr="00A517F6">
          <w:rPr>
            <w:rStyle w:val="Hyperlink"/>
            <w:noProof/>
          </w:rPr>
          <w:t>Proposal 19</w:t>
        </w:r>
        <w:r>
          <w:rPr>
            <w:rFonts w:asciiTheme="minorHAnsi" w:eastAsiaTheme="minorEastAsia" w:hAnsiTheme="minorHAnsi" w:cstheme="minorBidi"/>
            <w:b w:val="0"/>
            <w:noProof/>
            <w:sz w:val="22"/>
            <w:szCs w:val="22"/>
            <w:lang w:val="fi-FI" w:eastAsia="fi-FI"/>
          </w:rPr>
          <w:tab/>
        </w:r>
        <w:r w:rsidRPr="00A517F6">
          <w:rPr>
            <w:rStyle w:val="Hyperlink"/>
            <w:noProof/>
          </w:rPr>
          <w:t>SL CSI report is carried in a TB on PSSCH.</w:t>
        </w:r>
      </w:hyperlink>
    </w:p>
    <w:p w14:paraId="55389835"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1" w:history="1">
        <w:r w:rsidRPr="00A517F6">
          <w:rPr>
            <w:rStyle w:val="Hyperlink"/>
            <w:noProof/>
          </w:rPr>
          <w:t>Proposal 20</w:t>
        </w:r>
        <w:r>
          <w:rPr>
            <w:rFonts w:asciiTheme="minorHAnsi" w:eastAsiaTheme="minorEastAsia" w:hAnsiTheme="minorHAnsi" w:cstheme="minorBidi"/>
            <w:b w:val="0"/>
            <w:noProof/>
            <w:sz w:val="22"/>
            <w:szCs w:val="22"/>
            <w:lang w:val="fi-FI" w:eastAsia="fi-FI"/>
          </w:rPr>
          <w:tab/>
        </w:r>
        <w:r w:rsidRPr="00A517F6">
          <w:rPr>
            <w:rStyle w:val="Hyperlink"/>
            <w:rFonts w:eastAsia="Arial"/>
            <w:noProof/>
          </w:rPr>
          <w:t>It is up to RAN2 to decide if MAC CE or RRC message is used to carry CSI reports and the respective details specific to the solution.</w:t>
        </w:r>
      </w:hyperlink>
    </w:p>
    <w:p w14:paraId="7733FEAB"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2" w:history="1">
        <w:r w:rsidRPr="00A517F6">
          <w:rPr>
            <w:rStyle w:val="Hyperlink"/>
            <w:noProof/>
          </w:rPr>
          <w:t>Proposal 21</w:t>
        </w:r>
        <w:r>
          <w:rPr>
            <w:rFonts w:asciiTheme="minorHAnsi" w:eastAsiaTheme="minorEastAsia" w:hAnsiTheme="minorHAnsi" w:cstheme="minorBidi"/>
            <w:b w:val="0"/>
            <w:noProof/>
            <w:sz w:val="22"/>
            <w:szCs w:val="22"/>
            <w:lang w:val="fi-FI" w:eastAsia="fi-FI"/>
          </w:rPr>
          <w:tab/>
        </w:r>
        <w:r w:rsidRPr="00A517F6">
          <w:rPr>
            <w:rStyle w:val="Hyperlink"/>
            <w:noProof/>
          </w:rPr>
          <w:t>An indication in SCI is used to trigger sidelink CSI report from the RX UE.</w:t>
        </w:r>
      </w:hyperlink>
    </w:p>
    <w:p w14:paraId="20BDE906"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3" w:history="1">
        <w:r w:rsidRPr="00A517F6">
          <w:rPr>
            <w:rStyle w:val="Hyperlink"/>
            <w:noProof/>
          </w:rPr>
          <w:t>Proposal 22</w:t>
        </w:r>
        <w:r>
          <w:rPr>
            <w:rFonts w:asciiTheme="minorHAnsi" w:eastAsiaTheme="minorEastAsia" w:hAnsiTheme="minorHAnsi" w:cstheme="minorBidi"/>
            <w:b w:val="0"/>
            <w:noProof/>
            <w:sz w:val="22"/>
            <w:szCs w:val="22"/>
            <w:lang w:val="fi-FI" w:eastAsia="fi-FI"/>
          </w:rPr>
          <w:tab/>
        </w:r>
        <w:r w:rsidRPr="00A517F6">
          <w:rPr>
            <w:rStyle w:val="Hyperlink"/>
            <w:noProof/>
            <w:lang w:eastAsia="en-GB"/>
          </w:rPr>
          <w:t xml:space="preserve">The </w:t>
        </w:r>
        <w:r w:rsidRPr="00A517F6">
          <w:rPr>
            <w:rStyle w:val="Hyperlink"/>
            <w:noProof/>
          </w:rPr>
          <w:t>presence of SCSI-RS in a slot is indicated by an SCI carried by the PSCCH.</w:t>
        </w:r>
      </w:hyperlink>
    </w:p>
    <w:p w14:paraId="30A14B3F"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4" w:history="1">
        <w:r w:rsidRPr="00A517F6">
          <w:rPr>
            <w:rStyle w:val="Hyperlink"/>
            <w:noProof/>
          </w:rPr>
          <w:t>Proposal 23</w:t>
        </w:r>
        <w:r>
          <w:rPr>
            <w:rFonts w:asciiTheme="minorHAnsi" w:eastAsiaTheme="minorEastAsia" w:hAnsiTheme="minorHAnsi" w:cstheme="minorBidi"/>
            <w:b w:val="0"/>
            <w:noProof/>
            <w:sz w:val="22"/>
            <w:szCs w:val="22"/>
            <w:lang w:val="fi-FI" w:eastAsia="fi-FI"/>
          </w:rPr>
          <w:tab/>
        </w:r>
        <w:r w:rsidRPr="00A517F6">
          <w:rPr>
            <w:rStyle w:val="Hyperlink"/>
            <w:noProof/>
          </w:rPr>
          <w:t>CSI-RS is transmitted in a non-precoded manner.</w:t>
        </w:r>
      </w:hyperlink>
    </w:p>
    <w:p w14:paraId="36D06EFA"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5" w:history="1">
        <w:r w:rsidRPr="00A517F6">
          <w:rPr>
            <w:rStyle w:val="Hyperlink"/>
            <w:noProof/>
          </w:rPr>
          <w:t>Proposal 24</w:t>
        </w:r>
        <w:r>
          <w:rPr>
            <w:rFonts w:asciiTheme="minorHAnsi" w:eastAsiaTheme="minorEastAsia" w:hAnsiTheme="minorHAnsi" w:cstheme="minorBidi"/>
            <w:b w:val="0"/>
            <w:noProof/>
            <w:sz w:val="22"/>
            <w:szCs w:val="22"/>
            <w:lang w:val="fi-FI" w:eastAsia="fi-FI"/>
          </w:rPr>
          <w:tab/>
        </w:r>
        <w:r w:rsidRPr="00A517F6">
          <w:rPr>
            <w:rStyle w:val="Hyperlink"/>
            <w:noProof/>
          </w:rPr>
          <w:t>TX UE triggers RSRP reporting and RX UE reports back L3 filtered RSRP. In case of changes in the power of the RS used for RSRP measurement, the TX UE triggers a new request for RSRP report.</w:t>
        </w:r>
      </w:hyperlink>
    </w:p>
    <w:p w14:paraId="753E4469"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6" w:history="1">
        <w:r w:rsidRPr="00A517F6">
          <w:rPr>
            <w:rStyle w:val="Hyperlink"/>
            <w:noProof/>
            <w:lang w:eastAsia="en-GB"/>
          </w:rPr>
          <w:t>Proposal 25</w:t>
        </w:r>
        <w:r>
          <w:rPr>
            <w:rFonts w:asciiTheme="minorHAnsi" w:eastAsiaTheme="minorEastAsia" w:hAnsiTheme="minorHAnsi" w:cstheme="minorBidi"/>
            <w:b w:val="0"/>
            <w:noProof/>
            <w:sz w:val="22"/>
            <w:szCs w:val="22"/>
            <w:lang w:val="fi-FI" w:eastAsia="fi-FI"/>
          </w:rPr>
          <w:tab/>
        </w:r>
        <w:r w:rsidRPr="00A517F6">
          <w:rPr>
            <w:rStyle w:val="Hyperlink"/>
            <w:noProof/>
          </w:rPr>
          <w:t>RSRP report can be conveyed either by an RRC message or MAC CE. It is up to RAN2 to decide.</w:t>
        </w:r>
      </w:hyperlink>
    </w:p>
    <w:p w14:paraId="70D356F2"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7" w:history="1">
        <w:r w:rsidRPr="00A517F6">
          <w:rPr>
            <w:rStyle w:val="Hyperlink"/>
            <w:noProof/>
          </w:rPr>
          <w:t>Proposal 26</w:t>
        </w:r>
        <w:r>
          <w:rPr>
            <w:rFonts w:asciiTheme="minorHAnsi" w:eastAsiaTheme="minorEastAsia" w:hAnsiTheme="minorHAnsi" w:cstheme="minorBidi"/>
            <w:b w:val="0"/>
            <w:noProof/>
            <w:sz w:val="22"/>
            <w:szCs w:val="22"/>
            <w:lang w:val="fi-FI" w:eastAsia="fi-FI"/>
          </w:rPr>
          <w:tab/>
        </w:r>
        <w:r w:rsidRPr="00A517F6">
          <w:rPr>
            <w:rStyle w:val="Hyperlink"/>
            <w:noProof/>
          </w:rPr>
          <w:t>DMRS is preferred to measure RSRP compared to SCSI-RS.</w:t>
        </w:r>
      </w:hyperlink>
    </w:p>
    <w:p w14:paraId="76BB63D8"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8" w:history="1">
        <w:r w:rsidRPr="00A517F6">
          <w:rPr>
            <w:rStyle w:val="Hyperlink"/>
            <w:noProof/>
          </w:rPr>
          <w:t>Proposal 27</w:t>
        </w:r>
        <w:r>
          <w:rPr>
            <w:rFonts w:asciiTheme="minorHAnsi" w:eastAsiaTheme="minorEastAsia" w:hAnsiTheme="minorHAnsi" w:cstheme="minorBidi"/>
            <w:b w:val="0"/>
            <w:noProof/>
            <w:sz w:val="22"/>
            <w:szCs w:val="22"/>
            <w:lang w:val="fi-FI" w:eastAsia="fi-FI"/>
          </w:rPr>
          <w:tab/>
        </w:r>
        <w:r w:rsidRPr="00A517F6">
          <w:rPr>
            <w:rStyle w:val="Hyperlink"/>
            <w:noProof/>
          </w:rPr>
          <w:t>Groupcast RX UEs do not feedback SL-RSRP measurements to the TX UE.</w:t>
        </w:r>
      </w:hyperlink>
    </w:p>
    <w:p w14:paraId="0DF23EE5"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59" w:history="1">
        <w:r w:rsidRPr="00A517F6">
          <w:rPr>
            <w:rStyle w:val="Hyperlink"/>
            <w:noProof/>
          </w:rPr>
          <w:t>Proposal 28</w:t>
        </w:r>
        <w:r>
          <w:rPr>
            <w:rFonts w:asciiTheme="minorHAnsi" w:eastAsiaTheme="minorEastAsia" w:hAnsiTheme="minorHAnsi" w:cstheme="minorBidi"/>
            <w:b w:val="0"/>
            <w:noProof/>
            <w:sz w:val="22"/>
            <w:szCs w:val="22"/>
            <w:lang w:val="fi-FI" w:eastAsia="fi-FI"/>
          </w:rPr>
          <w:tab/>
        </w:r>
        <w:r w:rsidRPr="00A517F6">
          <w:rPr>
            <w:rStyle w:val="Hyperlink"/>
            <w:noProof/>
          </w:rPr>
          <w:t>Open loop SL power control for sidelink groupcast considers the communication range requirement.</w:t>
        </w:r>
      </w:hyperlink>
    </w:p>
    <w:p w14:paraId="2163A08C" w14:textId="77777777" w:rsidR="00F946B9" w:rsidRDefault="00F946B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1160" w:history="1">
        <w:r w:rsidRPr="00A517F6">
          <w:rPr>
            <w:rStyle w:val="Hyperlink"/>
            <w:noProof/>
          </w:rPr>
          <w:t>Proposal 29</w:t>
        </w:r>
        <w:r>
          <w:rPr>
            <w:rFonts w:asciiTheme="minorHAnsi" w:eastAsiaTheme="minorEastAsia" w:hAnsiTheme="minorHAnsi" w:cstheme="minorBidi"/>
            <w:b w:val="0"/>
            <w:noProof/>
            <w:sz w:val="22"/>
            <w:szCs w:val="22"/>
            <w:lang w:val="fi-FI" w:eastAsia="fi-FI"/>
          </w:rPr>
          <w:tab/>
        </w:r>
        <w:r w:rsidRPr="00A517F6">
          <w:rPr>
            <w:rStyle w:val="Hyperlink"/>
            <w:noProof/>
          </w:rPr>
          <w:t>RAN1 to specify methods to compensate for PSCCH performance loss when using power control.</w:t>
        </w:r>
      </w:hyperlink>
    </w:p>
    <w:p w14:paraId="051D334F" w14:textId="54B464A9" w:rsidR="002820B0" w:rsidRPr="006202E1" w:rsidRDefault="002820B0" w:rsidP="002820B0">
      <w:pPr>
        <w:pStyle w:val="BodyText"/>
        <w:rPr>
          <w:rFonts w:eastAsiaTheme="minorEastAsia"/>
          <w:b/>
          <w:bCs/>
        </w:rPr>
      </w:pPr>
      <w:r>
        <w:rPr>
          <w:b/>
          <w:bCs/>
          <w:lang w:val="en-US"/>
        </w:rPr>
        <w:fldChar w:fldCharType="end"/>
      </w:r>
      <w:r w:rsidRPr="00CE0424">
        <w:rPr>
          <w:b/>
          <w:bCs/>
        </w:rPr>
        <w:t xml:space="preserve"> </w:t>
      </w:r>
      <w:bookmarkStart w:id="109" w:name="_GoBack"/>
      <w:bookmarkEnd w:id="109"/>
    </w:p>
    <w:p w14:paraId="74581BA1" w14:textId="352F82BD" w:rsidR="002820B0" w:rsidRPr="00CE0424" w:rsidRDefault="00C65944" w:rsidP="002820B0">
      <w:pPr>
        <w:pStyle w:val="Heading1"/>
      </w:pPr>
      <w:bookmarkStart w:id="110" w:name="_In-sequence_SDU_delivery"/>
      <w:bookmarkEnd w:id="110"/>
      <w:r>
        <w:lastRenderedPageBreak/>
        <w:t>8</w:t>
      </w:r>
      <w:r w:rsidR="002D1A50">
        <w:tab/>
      </w:r>
      <w:r w:rsidR="002820B0" w:rsidRPr="00CE0424">
        <w:t>References</w:t>
      </w:r>
    </w:p>
    <w:p w14:paraId="44231196" w14:textId="25F19D3B" w:rsidR="003C1A5C" w:rsidRDefault="003C1A5C" w:rsidP="003C1A5C">
      <w:pPr>
        <w:pStyle w:val="Reference"/>
        <w:overflowPunct/>
        <w:autoSpaceDE/>
        <w:autoSpaceDN/>
        <w:adjustRightInd/>
        <w:spacing w:line="259" w:lineRule="auto"/>
        <w:jc w:val="left"/>
        <w:textAlignment w:val="auto"/>
        <w:rPr>
          <w:rFonts w:eastAsia="Arial" w:cs="Arial"/>
        </w:rPr>
      </w:pPr>
      <w:bookmarkStart w:id="111" w:name="_Ref4155288"/>
      <w:bookmarkStart w:id="112" w:name="_Ref174151459"/>
      <w:bookmarkStart w:id="113" w:name="_Ref189809556"/>
      <w:r w:rsidRPr="0062150D">
        <w:rPr>
          <w:rFonts w:eastAsia="Arial" w:cs="Arial"/>
        </w:rPr>
        <w:t>RP-190766</w:t>
      </w:r>
      <w:proofErr w:type="gramStart"/>
      <w:r w:rsidRPr="0062150D">
        <w:rPr>
          <w:rFonts w:eastAsia="Arial" w:cs="Arial"/>
        </w:rPr>
        <w:t xml:space="preserve">, </w:t>
      </w:r>
      <w:r>
        <w:rPr>
          <w:rFonts w:eastAsia="Arial" w:cs="Arial"/>
        </w:rPr>
        <w:t>”</w:t>
      </w:r>
      <w:r w:rsidRPr="0062150D">
        <w:rPr>
          <w:rFonts w:eastAsia="Arial" w:cs="Arial"/>
        </w:rPr>
        <w:t>New</w:t>
      </w:r>
      <w:proofErr w:type="gramEnd"/>
      <w:r w:rsidRPr="0062150D">
        <w:rPr>
          <w:rFonts w:eastAsia="Arial" w:cs="Arial"/>
        </w:rPr>
        <w:t xml:space="preserve"> WID on 5</w:t>
      </w:r>
      <w:r w:rsidRPr="0062150D">
        <w:rPr>
          <w:rFonts w:eastAsia="Arial" w:cs="Arial"/>
          <w:lang w:eastAsia="ko-KR"/>
        </w:rPr>
        <w:t>G V2X with NR sidelink</w:t>
      </w:r>
      <w:r>
        <w:rPr>
          <w:rFonts w:eastAsia="Arial" w:cs="Arial"/>
          <w:lang w:eastAsia="ko-KR"/>
        </w:rPr>
        <w:t>”</w:t>
      </w:r>
      <w:r w:rsidRPr="0062150D">
        <w:rPr>
          <w:rFonts w:eastAsia="Arial" w:cs="Arial"/>
          <w:lang w:eastAsia="ko-KR"/>
        </w:rPr>
        <w:t>, 3GPP TSG RAN Meeting #83, March 2019</w:t>
      </w:r>
      <w:r w:rsidRPr="0062150D">
        <w:rPr>
          <w:rFonts w:eastAsia="Arial" w:cs="Arial"/>
        </w:rPr>
        <w:t>.</w:t>
      </w:r>
      <w:bookmarkEnd w:id="111"/>
    </w:p>
    <w:p w14:paraId="412999D4" w14:textId="7AB76C91" w:rsidR="00C80F6B" w:rsidRPr="008418EE" w:rsidRDefault="00A44024" w:rsidP="003C1A5C">
      <w:pPr>
        <w:pStyle w:val="Reference"/>
        <w:overflowPunct/>
        <w:autoSpaceDE/>
        <w:autoSpaceDN/>
        <w:adjustRightInd/>
        <w:spacing w:line="259" w:lineRule="auto"/>
        <w:jc w:val="left"/>
        <w:textAlignment w:val="auto"/>
        <w:rPr>
          <w:rFonts w:eastAsia="Arial" w:cs="Arial"/>
        </w:rPr>
      </w:pPr>
      <w:bookmarkStart w:id="114" w:name="_Ref14349487"/>
      <w:r w:rsidRPr="008418EE">
        <w:rPr>
          <w:rFonts w:eastAsia="Arial" w:cs="Arial"/>
        </w:rPr>
        <w:t>R1-19</w:t>
      </w:r>
      <w:r w:rsidR="009264D9" w:rsidRPr="008418EE">
        <w:rPr>
          <w:rFonts w:eastAsia="Arial" w:cs="Arial"/>
        </w:rPr>
        <w:t>08911</w:t>
      </w:r>
      <w:r w:rsidRPr="008418EE">
        <w:rPr>
          <w:rFonts w:eastAsia="Arial" w:cs="Arial"/>
        </w:rPr>
        <w:t>, “</w:t>
      </w:r>
      <w:bookmarkEnd w:id="114"/>
      <w:r w:rsidR="00B8788F" w:rsidRPr="004C514D">
        <w:rPr>
          <w:sz w:val="22"/>
          <w:szCs w:val="22"/>
        </w:rPr>
        <w:t>PHY layer structure for NR sidelink</w:t>
      </w:r>
      <w:r w:rsidR="00B8788F">
        <w:rPr>
          <w:sz w:val="22"/>
          <w:szCs w:val="22"/>
        </w:rPr>
        <w:t xml:space="preserve">”, </w:t>
      </w:r>
      <w:r w:rsidR="00B8788F" w:rsidRPr="0062150D">
        <w:rPr>
          <w:rFonts w:eastAsia="Arial" w:cs="Arial"/>
          <w:lang w:eastAsia="ko-KR"/>
        </w:rPr>
        <w:t>3GPP TSG RAN</w:t>
      </w:r>
      <w:r w:rsidR="00B8788F">
        <w:rPr>
          <w:rFonts w:eastAsia="Arial" w:cs="Arial"/>
          <w:lang w:eastAsia="ko-KR"/>
        </w:rPr>
        <w:t>1</w:t>
      </w:r>
      <w:r w:rsidR="00B8788F" w:rsidRPr="0062150D">
        <w:rPr>
          <w:rFonts w:eastAsia="Arial" w:cs="Arial"/>
          <w:lang w:eastAsia="ko-KR"/>
        </w:rPr>
        <w:t xml:space="preserve"> Meeting #</w:t>
      </w:r>
      <w:r w:rsidR="00B8788F">
        <w:rPr>
          <w:rFonts w:eastAsia="Arial" w:cs="Arial"/>
          <w:lang w:eastAsia="ko-KR"/>
        </w:rPr>
        <w:t>98</w:t>
      </w:r>
      <w:r w:rsidR="00B8788F" w:rsidRPr="0062150D">
        <w:rPr>
          <w:rFonts w:eastAsia="Arial" w:cs="Arial"/>
          <w:lang w:eastAsia="ko-KR"/>
        </w:rPr>
        <w:t xml:space="preserve">, </w:t>
      </w:r>
      <w:r w:rsidR="00B8788F">
        <w:rPr>
          <w:rFonts w:eastAsia="Arial" w:cs="Arial"/>
          <w:lang w:eastAsia="ko-KR"/>
        </w:rPr>
        <w:t>August</w:t>
      </w:r>
      <w:r w:rsidR="00B8788F" w:rsidRPr="0062150D">
        <w:rPr>
          <w:rFonts w:eastAsia="Arial" w:cs="Arial"/>
          <w:lang w:eastAsia="ko-KR"/>
        </w:rPr>
        <w:t xml:space="preserve"> 2019</w:t>
      </w:r>
    </w:p>
    <w:bookmarkEnd w:id="112"/>
    <w:bookmarkEnd w:id="113"/>
    <w:p w14:paraId="01ABCBA4" w14:textId="771DD834" w:rsidR="002820B0" w:rsidRDefault="00962688" w:rsidP="002820B0">
      <w:pPr>
        <w:pStyle w:val="Reference"/>
      </w:pPr>
      <w:r>
        <w:t>TR 37.885,</w:t>
      </w:r>
      <w:r w:rsidR="00E0124A">
        <w:t xml:space="preserve"> “</w:t>
      </w:r>
      <w:r w:rsidR="00E0124A" w:rsidRPr="00084995">
        <w:t xml:space="preserve">Study on evaluation methodology of new Vehicle-to-Everything </w:t>
      </w:r>
      <w:r w:rsidR="00E0124A">
        <w:t>(</w:t>
      </w:r>
      <w:r w:rsidR="00E0124A" w:rsidRPr="00084995">
        <w:t>V2X</w:t>
      </w:r>
      <w:r w:rsidR="00E0124A">
        <w:t>)</w:t>
      </w:r>
      <w:r w:rsidR="00E0124A" w:rsidRPr="00084995">
        <w:t xml:space="preserve"> use cases for LTE and NR</w:t>
      </w:r>
      <w:r w:rsidR="00E0124A">
        <w:t>”</w:t>
      </w:r>
      <w:r w:rsidR="00C62DB3">
        <w:t>, Release 15, v</w:t>
      </w:r>
      <w:r w:rsidR="000357AE">
        <w:t>15.3.0</w:t>
      </w:r>
      <w:r w:rsidR="00E31BC8">
        <w:t>.</w:t>
      </w:r>
    </w:p>
    <w:sectPr w:rsidR="002820B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EBB63" w14:textId="77777777" w:rsidR="00C34CB5" w:rsidRDefault="00C34CB5">
      <w:r>
        <w:separator/>
      </w:r>
    </w:p>
  </w:endnote>
  <w:endnote w:type="continuationSeparator" w:id="0">
    <w:p w14:paraId="1E6E58AB" w14:textId="77777777" w:rsidR="00C34CB5" w:rsidRDefault="00C34CB5">
      <w:r>
        <w:continuationSeparator/>
      </w:r>
    </w:p>
  </w:endnote>
  <w:endnote w:type="continuationNotice" w:id="1">
    <w:p w14:paraId="2EFF5B99" w14:textId="77777777" w:rsidR="00C34CB5" w:rsidRDefault="00C34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E537D" w14:textId="77777777" w:rsidR="00C34CB5" w:rsidRDefault="00C34CB5">
      <w:r>
        <w:separator/>
      </w:r>
    </w:p>
  </w:footnote>
  <w:footnote w:type="continuationSeparator" w:id="0">
    <w:p w14:paraId="181FC5AB" w14:textId="77777777" w:rsidR="00C34CB5" w:rsidRDefault="00C34CB5">
      <w:r>
        <w:continuationSeparator/>
      </w:r>
    </w:p>
  </w:footnote>
  <w:footnote w:type="continuationNotice" w:id="1">
    <w:p w14:paraId="07ECFCF5" w14:textId="77777777" w:rsidR="00C34CB5" w:rsidRDefault="00C34C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0042C8"/>
    <w:multiLevelType w:val="hybridMultilevel"/>
    <w:tmpl w:val="7AD4B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D1EE9"/>
    <w:multiLevelType w:val="multilevel"/>
    <w:tmpl w:val="323C9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016D5"/>
    <w:multiLevelType w:val="hybridMultilevel"/>
    <w:tmpl w:val="1AF4624A"/>
    <w:lvl w:ilvl="0" w:tplc="04090001">
      <w:start w:val="1"/>
      <w:numFmt w:val="bullet"/>
      <w:lvlText w:val=""/>
      <w:lvlJc w:val="left"/>
      <w:pPr>
        <w:tabs>
          <w:tab w:val="num" w:pos="720"/>
        </w:tabs>
        <w:ind w:left="720" w:hanging="360"/>
      </w:pPr>
      <w:rPr>
        <w:rFonts w:ascii="Symbol" w:hAnsi="Symbol" w:hint="default"/>
      </w:rPr>
    </w:lvl>
    <w:lvl w:ilvl="1" w:tplc="C25CF75C" w:tentative="1">
      <w:start w:val="1"/>
      <w:numFmt w:val="bullet"/>
      <w:lvlText w:val="—"/>
      <w:lvlJc w:val="left"/>
      <w:pPr>
        <w:tabs>
          <w:tab w:val="num" w:pos="1440"/>
        </w:tabs>
        <w:ind w:left="1440" w:hanging="360"/>
      </w:pPr>
      <w:rPr>
        <w:rFonts w:ascii="Ericsson Hilda Light" w:hAnsi="Ericsson Hilda Light" w:hint="default"/>
      </w:rPr>
    </w:lvl>
    <w:lvl w:ilvl="2" w:tplc="34808CAC" w:tentative="1">
      <w:start w:val="1"/>
      <w:numFmt w:val="bullet"/>
      <w:lvlText w:val="—"/>
      <w:lvlJc w:val="left"/>
      <w:pPr>
        <w:tabs>
          <w:tab w:val="num" w:pos="2160"/>
        </w:tabs>
        <w:ind w:left="2160" w:hanging="360"/>
      </w:pPr>
      <w:rPr>
        <w:rFonts w:ascii="Ericsson Hilda Light" w:hAnsi="Ericsson Hilda Light" w:hint="default"/>
      </w:rPr>
    </w:lvl>
    <w:lvl w:ilvl="3" w:tplc="1B18D8D8" w:tentative="1">
      <w:start w:val="1"/>
      <w:numFmt w:val="bullet"/>
      <w:lvlText w:val="—"/>
      <w:lvlJc w:val="left"/>
      <w:pPr>
        <w:tabs>
          <w:tab w:val="num" w:pos="2880"/>
        </w:tabs>
        <w:ind w:left="2880" w:hanging="360"/>
      </w:pPr>
      <w:rPr>
        <w:rFonts w:ascii="Ericsson Hilda Light" w:hAnsi="Ericsson Hilda Light" w:hint="default"/>
      </w:rPr>
    </w:lvl>
    <w:lvl w:ilvl="4" w:tplc="93BCFD60" w:tentative="1">
      <w:start w:val="1"/>
      <w:numFmt w:val="bullet"/>
      <w:lvlText w:val="—"/>
      <w:lvlJc w:val="left"/>
      <w:pPr>
        <w:tabs>
          <w:tab w:val="num" w:pos="3600"/>
        </w:tabs>
        <w:ind w:left="3600" w:hanging="360"/>
      </w:pPr>
      <w:rPr>
        <w:rFonts w:ascii="Ericsson Hilda Light" w:hAnsi="Ericsson Hilda Light" w:hint="default"/>
      </w:rPr>
    </w:lvl>
    <w:lvl w:ilvl="5" w:tplc="FE92BE0A" w:tentative="1">
      <w:start w:val="1"/>
      <w:numFmt w:val="bullet"/>
      <w:lvlText w:val="—"/>
      <w:lvlJc w:val="left"/>
      <w:pPr>
        <w:tabs>
          <w:tab w:val="num" w:pos="4320"/>
        </w:tabs>
        <w:ind w:left="4320" w:hanging="360"/>
      </w:pPr>
      <w:rPr>
        <w:rFonts w:ascii="Ericsson Hilda Light" w:hAnsi="Ericsson Hilda Light" w:hint="default"/>
      </w:rPr>
    </w:lvl>
    <w:lvl w:ilvl="6" w:tplc="260286B8" w:tentative="1">
      <w:start w:val="1"/>
      <w:numFmt w:val="bullet"/>
      <w:lvlText w:val="—"/>
      <w:lvlJc w:val="left"/>
      <w:pPr>
        <w:tabs>
          <w:tab w:val="num" w:pos="5040"/>
        </w:tabs>
        <w:ind w:left="5040" w:hanging="360"/>
      </w:pPr>
      <w:rPr>
        <w:rFonts w:ascii="Ericsson Hilda Light" w:hAnsi="Ericsson Hilda Light" w:hint="default"/>
      </w:rPr>
    </w:lvl>
    <w:lvl w:ilvl="7" w:tplc="D1F0A278" w:tentative="1">
      <w:start w:val="1"/>
      <w:numFmt w:val="bullet"/>
      <w:lvlText w:val="—"/>
      <w:lvlJc w:val="left"/>
      <w:pPr>
        <w:tabs>
          <w:tab w:val="num" w:pos="5760"/>
        </w:tabs>
        <w:ind w:left="5760" w:hanging="360"/>
      </w:pPr>
      <w:rPr>
        <w:rFonts w:ascii="Ericsson Hilda Light" w:hAnsi="Ericsson Hilda Light" w:hint="default"/>
      </w:rPr>
    </w:lvl>
    <w:lvl w:ilvl="8" w:tplc="628867F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5627AE"/>
    <w:multiLevelType w:val="hybridMultilevel"/>
    <w:tmpl w:val="D640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C7BEE"/>
    <w:multiLevelType w:val="multilevel"/>
    <w:tmpl w:val="5114002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1ED1"/>
    <w:multiLevelType w:val="hybridMultilevel"/>
    <w:tmpl w:val="44480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AD2E65AE"/>
    <w:lvl w:ilvl="0" w:tplc="1A0EDF42">
      <w:start w:val="1"/>
      <w:numFmt w:val="decimal"/>
      <w:pStyle w:val="Observation"/>
      <w:lvlText w:val="Observation %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264BD"/>
    <w:multiLevelType w:val="hybridMultilevel"/>
    <w:tmpl w:val="E462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52017B"/>
    <w:multiLevelType w:val="hybridMultilevel"/>
    <w:tmpl w:val="740A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A1E27"/>
    <w:multiLevelType w:val="multilevel"/>
    <w:tmpl w:val="37C600E6"/>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5"/>
  </w:num>
  <w:num w:numId="3">
    <w:abstractNumId w:val="0"/>
  </w:num>
  <w:num w:numId="4">
    <w:abstractNumId w:val="20"/>
  </w:num>
  <w:num w:numId="5">
    <w:abstractNumId w:val="21"/>
  </w:num>
  <w:num w:numId="6">
    <w:abstractNumId w:val="24"/>
  </w:num>
  <w:num w:numId="7">
    <w:abstractNumId w:val="6"/>
  </w:num>
  <w:num w:numId="8">
    <w:abstractNumId w:val="7"/>
  </w:num>
  <w:num w:numId="9">
    <w:abstractNumId w:val="2"/>
  </w:num>
  <w:num w:numId="10">
    <w:abstractNumId w:val="30"/>
  </w:num>
  <w:num w:numId="11">
    <w:abstractNumId w:val="12"/>
  </w:num>
  <w:num w:numId="12">
    <w:abstractNumId w:val="29"/>
  </w:num>
  <w:num w:numId="13">
    <w:abstractNumId w:val="17"/>
  </w:num>
  <w:num w:numId="14">
    <w:abstractNumId w:val="35"/>
  </w:num>
  <w:num w:numId="15">
    <w:abstractNumId w:val="4"/>
  </w:num>
  <w:num w:numId="16">
    <w:abstractNumId w:val="9"/>
  </w:num>
  <w:num w:numId="17">
    <w:abstractNumId w:val="10"/>
  </w:num>
  <w:num w:numId="18">
    <w:abstractNumId w:val="23"/>
  </w:num>
  <w:num w:numId="19">
    <w:abstractNumId w:val="28"/>
  </w:num>
  <w:num w:numId="20">
    <w:abstractNumId w:val="18"/>
  </w:num>
  <w:num w:numId="21">
    <w:abstractNumId w:val="8"/>
  </w:num>
  <w:num w:numId="22">
    <w:abstractNumId w:val="5"/>
  </w:num>
  <w:num w:numId="23">
    <w:abstractNumId w:val="3"/>
  </w:num>
  <w:num w:numId="24">
    <w:abstractNumId w:val="31"/>
  </w:num>
  <w:num w:numId="25">
    <w:abstractNumId w:val="1"/>
  </w:num>
  <w:num w:numId="26">
    <w:abstractNumId w:val="33"/>
  </w:num>
  <w:num w:numId="27">
    <w:abstractNumId w:val="16"/>
  </w:num>
  <w:num w:numId="28">
    <w:abstractNumId w:val="32"/>
  </w:num>
  <w:num w:numId="29">
    <w:abstractNumId w:val="34"/>
  </w:num>
  <w:num w:numId="30">
    <w:abstractNumId w:val="22"/>
  </w:num>
  <w:num w:numId="31">
    <w:abstractNumId w:val="25"/>
  </w:num>
  <w:num w:numId="32">
    <w:abstractNumId w:val="26"/>
  </w:num>
  <w:num w:numId="33">
    <w:abstractNumId w:val="14"/>
  </w:num>
  <w:num w:numId="34">
    <w:abstractNumId w:val="27"/>
  </w:num>
  <w:num w:numId="35">
    <w:abstractNumId w:val="13"/>
  </w:num>
  <w:num w:numId="3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E8"/>
    <w:rsid w:val="00002A37"/>
    <w:rsid w:val="00004044"/>
    <w:rsid w:val="0000564C"/>
    <w:rsid w:val="000056D6"/>
    <w:rsid w:val="00006446"/>
    <w:rsid w:val="00006896"/>
    <w:rsid w:val="00007CDC"/>
    <w:rsid w:val="00010BBD"/>
    <w:rsid w:val="00011B28"/>
    <w:rsid w:val="0001429D"/>
    <w:rsid w:val="00014322"/>
    <w:rsid w:val="00015794"/>
    <w:rsid w:val="00015D15"/>
    <w:rsid w:val="00020819"/>
    <w:rsid w:val="00020ACE"/>
    <w:rsid w:val="00024394"/>
    <w:rsid w:val="0002564D"/>
    <w:rsid w:val="00025ECA"/>
    <w:rsid w:val="0002608B"/>
    <w:rsid w:val="00026236"/>
    <w:rsid w:val="00027E43"/>
    <w:rsid w:val="000311B6"/>
    <w:rsid w:val="0003131A"/>
    <w:rsid w:val="000325B8"/>
    <w:rsid w:val="00032A7C"/>
    <w:rsid w:val="00033559"/>
    <w:rsid w:val="00034094"/>
    <w:rsid w:val="00034C15"/>
    <w:rsid w:val="000357AE"/>
    <w:rsid w:val="00036BA1"/>
    <w:rsid w:val="00037489"/>
    <w:rsid w:val="00040CA0"/>
    <w:rsid w:val="00040EA3"/>
    <w:rsid w:val="000422E2"/>
    <w:rsid w:val="00042F22"/>
    <w:rsid w:val="000430B2"/>
    <w:rsid w:val="00044276"/>
    <w:rsid w:val="000444EF"/>
    <w:rsid w:val="00044594"/>
    <w:rsid w:val="0004646A"/>
    <w:rsid w:val="000467A1"/>
    <w:rsid w:val="0005091C"/>
    <w:rsid w:val="000514FD"/>
    <w:rsid w:val="000526E5"/>
    <w:rsid w:val="00052A07"/>
    <w:rsid w:val="000534E3"/>
    <w:rsid w:val="00053E7C"/>
    <w:rsid w:val="0005592D"/>
    <w:rsid w:val="0005606A"/>
    <w:rsid w:val="00057117"/>
    <w:rsid w:val="00060380"/>
    <w:rsid w:val="000613C0"/>
    <w:rsid w:val="000616E7"/>
    <w:rsid w:val="00062C03"/>
    <w:rsid w:val="0006341E"/>
    <w:rsid w:val="00063AB3"/>
    <w:rsid w:val="0006487E"/>
    <w:rsid w:val="00064CF2"/>
    <w:rsid w:val="0006565F"/>
    <w:rsid w:val="00065E1A"/>
    <w:rsid w:val="00066606"/>
    <w:rsid w:val="00070557"/>
    <w:rsid w:val="00073676"/>
    <w:rsid w:val="00073984"/>
    <w:rsid w:val="0007536A"/>
    <w:rsid w:val="000760BE"/>
    <w:rsid w:val="00076472"/>
    <w:rsid w:val="00076643"/>
    <w:rsid w:val="000778E1"/>
    <w:rsid w:val="00077E5F"/>
    <w:rsid w:val="0008036A"/>
    <w:rsid w:val="00081AE6"/>
    <w:rsid w:val="0008289F"/>
    <w:rsid w:val="000837DF"/>
    <w:rsid w:val="000852E1"/>
    <w:rsid w:val="000855EB"/>
    <w:rsid w:val="00085B52"/>
    <w:rsid w:val="00085BFC"/>
    <w:rsid w:val="0008627F"/>
    <w:rsid w:val="000866CD"/>
    <w:rsid w:val="000866F2"/>
    <w:rsid w:val="0008724B"/>
    <w:rsid w:val="00087DF3"/>
    <w:rsid w:val="00087ED2"/>
    <w:rsid w:val="0009007F"/>
    <w:rsid w:val="0009009F"/>
    <w:rsid w:val="00091557"/>
    <w:rsid w:val="000924C1"/>
    <w:rsid w:val="000924F0"/>
    <w:rsid w:val="00092A21"/>
    <w:rsid w:val="00093474"/>
    <w:rsid w:val="00094F8A"/>
    <w:rsid w:val="0009510F"/>
    <w:rsid w:val="00096EAD"/>
    <w:rsid w:val="000A1B7B"/>
    <w:rsid w:val="000A31AD"/>
    <w:rsid w:val="000A34CA"/>
    <w:rsid w:val="000A3EE0"/>
    <w:rsid w:val="000A4322"/>
    <w:rsid w:val="000A56F2"/>
    <w:rsid w:val="000B1B06"/>
    <w:rsid w:val="000B240D"/>
    <w:rsid w:val="000B2719"/>
    <w:rsid w:val="000B3A8F"/>
    <w:rsid w:val="000B3D9B"/>
    <w:rsid w:val="000B4AB9"/>
    <w:rsid w:val="000B58C3"/>
    <w:rsid w:val="000B5958"/>
    <w:rsid w:val="000B61E9"/>
    <w:rsid w:val="000C0A47"/>
    <w:rsid w:val="000C12DB"/>
    <w:rsid w:val="000C165A"/>
    <w:rsid w:val="000C2E19"/>
    <w:rsid w:val="000C3A5A"/>
    <w:rsid w:val="000C4709"/>
    <w:rsid w:val="000C4C46"/>
    <w:rsid w:val="000C5E0A"/>
    <w:rsid w:val="000D01CE"/>
    <w:rsid w:val="000D0D07"/>
    <w:rsid w:val="000D23E5"/>
    <w:rsid w:val="000D4255"/>
    <w:rsid w:val="000D4797"/>
    <w:rsid w:val="000E044E"/>
    <w:rsid w:val="000E0527"/>
    <w:rsid w:val="000E1E92"/>
    <w:rsid w:val="000E313A"/>
    <w:rsid w:val="000E4BAC"/>
    <w:rsid w:val="000E6383"/>
    <w:rsid w:val="000E7209"/>
    <w:rsid w:val="000E75F6"/>
    <w:rsid w:val="000E7742"/>
    <w:rsid w:val="000F06D6"/>
    <w:rsid w:val="000F0EB1"/>
    <w:rsid w:val="000F1106"/>
    <w:rsid w:val="000F1F07"/>
    <w:rsid w:val="000F287A"/>
    <w:rsid w:val="000F3909"/>
    <w:rsid w:val="000F3BE9"/>
    <w:rsid w:val="000F3F6C"/>
    <w:rsid w:val="000F47D9"/>
    <w:rsid w:val="000F5425"/>
    <w:rsid w:val="000F64AB"/>
    <w:rsid w:val="000F6DF3"/>
    <w:rsid w:val="000F7EE1"/>
    <w:rsid w:val="0010027D"/>
    <w:rsid w:val="001005FF"/>
    <w:rsid w:val="00101FE5"/>
    <w:rsid w:val="001062FB"/>
    <w:rsid w:val="001063E6"/>
    <w:rsid w:val="0011077B"/>
    <w:rsid w:val="00110821"/>
    <w:rsid w:val="00110EDD"/>
    <w:rsid w:val="001111A2"/>
    <w:rsid w:val="001115AC"/>
    <w:rsid w:val="00113CF4"/>
    <w:rsid w:val="00114219"/>
    <w:rsid w:val="001144BB"/>
    <w:rsid w:val="001153EA"/>
    <w:rsid w:val="001154EC"/>
    <w:rsid w:val="00115643"/>
    <w:rsid w:val="00115E50"/>
    <w:rsid w:val="0011630C"/>
    <w:rsid w:val="00116765"/>
    <w:rsid w:val="00117857"/>
    <w:rsid w:val="00117EB8"/>
    <w:rsid w:val="001202BF"/>
    <w:rsid w:val="001215C7"/>
    <w:rsid w:val="001219F5"/>
    <w:rsid w:val="00121A20"/>
    <w:rsid w:val="00121B20"/>
    <w:rsid w:val="0012275C"/>
    <w:rsid w:val="00123013"/>
    <w:rsid w:val="0012377F"/>
    <w:rsid w:val="00124314"/>
    <w:rsid w:val="001247DD"/>
    <w:rsid w:val="0012575B"/>
    <w:rsid w:val="00126B4A"/>
    <w:rsid w:val="00127A35"/>
    <w:rsid w:val="00132FD0"/>
    <w:rsid w:val="001344C0"/>
    <w:rsid w:val="001346FA"/>
    <w:rsid w:val="00135252"/>
    <w:rsid w:val="00135D02"/>
    <w:rsid w:val="00136BAC"/>
    <w:rsid w:val="00137AB5"/>
    <w:rsid w:val="00137F0B"/>
    <w:rsid w:val="00143CA1"/>
    <w:rsid w:val="00144613"/>
    <w:rsid w:val="00147ABF"/>
    <w:rsid w:val="00151E23"/>
    <w:rsid w:val="00152258"/>
    <w:rsid w:val="001526E0"/>
    <w:rsid w:val="00154540"/>
    <w:rsid w:val="001551B5"/>
    <w:rsid w:val="00161ADB"/>
    <w:rsid w:val="0016292D"/>
    <w:rsid w:val="001659C1"/>
    <w:rsid w:val="00165DC0"/>
    <w:rsid w:val="0017081F"/>
    <w:rsid w:val="00171F24"/>
    <w:rsid w:val="00172750"/>
    <w:rsid w:val="00172AFD"/>
    <w:rsid w:val="00173A8E"/>
    <w:rsid w:val="00174195"/>
    <w:rsid w:val="0017502C"/>
    <w:rsid w:val="00176699"/>
    <w:rsid w:val="0018143F"/>
    <w:rsid w:val="00181FF8"/>
    <w:rsid w:val="0018283B"/>
    <w:rsid w:val="00183094"/>
    <w:rsid w:val="00186FA7"/>
    <w:rsid w:val="001873FF"/>
    <w:rsid w:val="0019084C"/>
    <w:rsid w:val="00190A86"/>
    <w:rsid w:val="00190AC1"/>
    <w:rsid w:val="00190DD9"/>
    <w:rsid w:val="00191AE2"/>
    <w:rsid w:val="0019341A"/>
    <w:rsid w:val="0019365A"/>
    <w:rsid w:val="001939F8"/>
    <w:rsid w:val="00193A7C"/>
    <w:rsid w:val="00195811"/>
    <w:rsid w:val="00196A1A"/>
    <w:rsid w:val="00197DF9"/>
    <w:rsid w:val="001A1440"/>
    <w:rsid w:val="001A1987"/>
    <w:rsid w:val="001A2564"/>
    <w:rsid w:val="001A2EB3"/>
    <w:rsid w:val="001A350E"/>
    <w:rsid w:val="001A6173"/>
    <w:rsid w:val="001A6CBA"/>
    <w:rsid w:val="001B0D97"/>
    <w:rsid w:val="001B5A5D"/>
    <w:rsid w:val="001B633C"/>
    <w:rsid w:val="001C0A38"/>
    <w:rsid w:val="001C1CBD"/>
    <w:rsid w:val="001C1CE5"/>
    <w:rsid w:val="001C1F53"/>
    <w:rsid w:val="001C25A6"/>
    <w:rsid w:val="001C2C3D"/>
    <w:rsid w:val="001C3627"/>
    <w:rsid w:val="001C3D2A"/>
    <w:rsid w:val="001C6C95"/>
    <w:rsid w:val="001C6F93"/>
    <w:rsid w:val="001C792B"/>
    <w:rsid w:val="001D0472"/>
    <w:rsid w:val="001D23AE"/>
    <w:rsid w:val="001D3507"/>
    <w:rsid w:val="001D4FFE"/>
    <w:rsid w:val="001D51BA"/>
    <w:rsid w:val="001D5265"/>
    <w:rsid w:val="001D53E7"/>
    <w:rsid w:val="001D6342"/>
    <w:rsid w:val="001D6D53"/>
    <w:rsid w:val="001D789B"/>
    <w:rsid w:val="001D7E65"/>
    <w:rsid w:val="001E0C68"/>
    <w:rsid w:val="001E2A4D"/>
    <w:rsid w:val="001E4D53"/>
    <w:rsid w:val="001E5265"/>
    <w:rsid w:val="001E58E2"/>
    <w:rsid w:val="001E7ABA"/>
    <w:rsid w:val="001E7AED"/>
    <w:rsid w:val="001F0828"/>
    <w:rsid w:val="001F1031"/>
    <w:rsid w:val="001F3068"/>
    <w:rsid w:val="001F311E"/>
    <w:rsid w:val="001F3916"/>
    <w:rsid w:val="001F3B64"/>
    <w:rsid w:val="001F4102"/>
    <w:rsid w:val="001F50F2"/>
    <w:rsid w:val="001F54C5"/>
    <w:rsid w:val="001F5EB3"/>
    <w:rsid w:val="001F662C"/>
    <w:rsid w:val="001F6AFD"/>
    <w:rsid w:val="001F6FD6"/>
    <w:rsid w:val="001F7074"/>
    <w:rsid w:val="001F780B"/>
    <w:rsid w:val="00200490"/>
    <w:rsid w:val="00201F3A"/>
    <w:rsid w:val="0020299E"/>
    <w:rsid w:val="00203F96"/>
    <w:rsid w:val="002069B2"/>
    <w:rsid w:val="00207F4D"/>
    <w:rsid w:val="00207FA3"/>
    <w:rsid w:val="0021114A"/>
    <w:rsid w:val="00214DA8"/>
    <w:rsid w:val="00215423"/>
    <w:rsid w:val="002158FA"/>
    <w:rsid w:val="00215C7F"/>
    <w:rsid w:val="0021794E"/>
    <w:rsid w:val="00220600"/>
    <w:rsid w:val="00220622"/>
    <w:rsid w:val="002224DB"/>
    <w:rsid w:val="00223E61"/>
    <w:rsid w:val="00223FCB"/>
    <w:rsid w:val="0022518B"/>
    <w:rsid w:val="002252C3"/>
    <w:rsid w:val="00225C54"/>
    <w:rsid w:val="0022757B"/>
    <w:rsid w:val="00230230"/>
    <w:rsid w:val="00230765"/>
    <w:rsid w:val="00230ABF"/>
    <w:rsid w:val="00230B37"/>
    <w:rsid w:val="00230D18"/>
    <w:rsid w:val="002319E4"/>
    <w:rsid w:val="00232F8B"/>
    <w:rsid w:val="00233819"/>
    <w:rsid w:val="00234717"/>
    <w:rsid w:val="00235632"/>
    <w:rsid w:val="00235872"/>
    <w:rsid w:val="00236A35"/>
    <w:rsid w:val="00241559"/>
    <w:rsid w:val="0024279C"/>
    <w:rsid w:val="002435B3"/>
    <w:rsid w:val="0024461E"/>
    <w:rsid w:val="002458EB"/>
    <w:rsid w:val="0024744B"/>
    <w:rsid w:val="002500C8"/>
    <w:rsid w:val="00250350"/>
    <w:rsid w:val="002509B6"/>
    <w:rsid w:val="0025375A"/>
    <w:rsid w:val="00254E1D"/>
    <w:rsid w:val="00257543"/>
    <w:rsid w:val="002617E7"/>
    <w:rsid w:val="00262006"/>
    <w:rsid w:val="00263FA8"/>
    <w:rsid w:val="00264228"/>
    <w:rsid w:val="002642D0"/>
    <w:rsid w:val="00264334"/>
    <w:rsid w:val="0026473E"/>
    <w:rsid w:val="0026520B"/>
    <w:rsid w:val="00265B2B"/>
    <w:rsid w:val="00266214"/>
    <w:rsid w:val="00266734"/>
    <w:rsid w:val="00267C83"/>
    <w:rsid w:val="0027144F"/>
    <w:rsid w:val="00271813"/>
    <w:rsid w:val="00271850"/>
    <w:rsid w:val="00271F23"/>
    <w:rsid w:val="00271F3A"/>
    <w:rsid w:val="00272417"/>
    <w:rsid w:val="00272D27"/>
    <w:rsid w:val="00273278"/>
    <w:rsid w:val="002732EF"/>
    <w:rsid w:val="002737F4"/>
    <w:rsid w:val="00274A7B"/>
    <w:rsid w:val="00275E16"/>
    <w:rsid w:val="0027748E"/>
    <w:rsid w:val="002805F5"/>
    <w:rsid w:val="00280751"/>
    <w:rsid w:val="00280DA1"/>
    <w:rsid w:val="002820B0"/>
    <w:rsid w:val="0028280A"/>
    <w:rsid w:val="00284452"/>
    <w:rsid w:val="0028498D"/>
    <w:rsid w:val="00286ACD"/>
    <w:rsid w:val="00286EFD"/>
    <w:rsid w:val="0028720E"/>
    <w:rsid w:val="00287838"/>
    <w:rsid w:val="00290072"/>
    <w:rsid w:val="002907B5"/>
    <w:rsid w:val="00292EB7"/>
    <w:rsid w:val="00296227"/>
    <w:rsid w:val="00296F44"/>
    <w:rsid w:val="0029777D"/>
    <w:rsid w:val="0029792B"/>
    <w:rsid w:val="00297D31"/>
    <w:rsid w:val="002A055E"/>
    <w:rsid w:val="002A14B6"/>
    <w:rsid w:val="002A1D4E"/>
    <w:rsid w:val="002A2869"/>
    <w:rsid w:val="002A464F"/>
    <w:rsid w:val="002A7717"/>
    <w:rsid w:val="002B24D6"/>
    <w:rsid w:val="002B2A7F"/>
    <w:rsid w:val="002B341C"/>
    <w:rsid w:val="002B371F"/>
    <w:rsid w:val="002B3A6F"/>
    <w:rsid w:val="002B3DEB"/>
    <w:rsid w:val="002B6161"/>
    <w:rsid w:val="002B636B"/>
    <w:rsid w:val="002C128B"/>
    <w:rsid w:val="002C1787"/>
    <w:rsid w:val="002C21A8"/>
    <w:rsid w:val="002C27AF"/>
    <w:rsid w:val="002C41E6"/>
    <w:rsid w:val="002C52D8"/>
    <w:rsid w:val="002C758F"/>
    <w:rsid w:val="002D071A"/>
    <w:rsid w:val="002D0DF1"/>
    <w:rsid w:val="002D14F2"/>
    <w:rsid w:val="002D1A50"/>
    <w:rsid w:val="002D1A99"/>
    <w:rsid w:val="002D2E1E"/>
    <w:rsid w:val="002D34B2"/>
    <w:rsid w:val="002D48B0"/>
    <w:rsid w:val="002D5B37"/>
    <w:rsid w:val="002D72D4"/>
    <w:rsid w:val="002D7637"/>
    <w:rsid w:val="002E17EF"/>
    <w:rsid w:val="002E17F2"/>
    <w:rsid w:val="002E5105"/>
    <w:rsid w:val="002E6D2B"/>
    <w:rsid w:val="002E7CAE"/>
    <w:rsid w:val="002F0BC9"/>
    <w:rsid w:val="002F2771"/>
    <w:rsid w:val="002F37A9"/>
    <w:rsid w:val="002F5844"/>
    <w:rsid w:val="002F65D4"/>
    <w:rsid w:val="002F6851"/>
    <w:rsid w:val="002F68F8"/>
    <w:rsid w:val="002F7A80"/>
    <w:rsid w:val="002F7DFA"/>
    <w:rsid w:val="0030063B"/>
    <w:rsid w:val="003018FC"/>
    <w:rsid w:val="00301CE6"/>
    <w:rsid w:val="0030256B"/>
    <w:rsid w:val="003026A9"/>
    <w:rsid w:val="00304A7D"/>
    <w:rsid w:val="0030501F"/>
    <w:rsid w:val="00307B6C"/>
    <w:rsid w:val="00307BA1"/>
    <w:rsid w:val="003106A8"/>
    <w:rsid w:val="00310E52"/>
    <w:rsid w:val="00311702"/>
    <w:rsid w:val="00311E82"/>
    <w:rsid w:val="00311F69"/>
    <w:rsid w:val="003126A4"/>
    <w:rsid w:val="00312BBE"/>
    <w:rsid w:val="0031313F"/>
    <w:rsid w:val="00313FD6"/>
    <w:rsid w:val="003143BD"/>
    <w:rsid w:val="00314E09"/>
    <w:rsid w:val="00315363"/>
    <w:rsid w:val="00317B8D"/>
    <w:rsid w:val="003203ED"/>
    <w:rsid w:val="00321FA0"/>
    <w:rsid w:val="003222F8"/>
    <w:rsid w:val="00322BAB"/>
    <w:rsid w:val="00322C9F"/>
    <w:rsid w:val="0032464A"/>
    <w:rsid w:val="00324D23"/>
    <w:rsid w:val="00325774"/>
    <w:rsid w:val="00326996"/>
    <w:rsid w:val="0032756F"/>
    <w:rsid w:val="00327E48"/>
    <w:rsid w:val="00330696"/>
    <w:rsid w:val="00331751"/>
    <w:rsid w:val="00332C94"/>
    <w:rsid w:val="00334579"/>
    <w:rsid w:val="00334677"/>
    <w:rsid w:val="00335858"/>
    <w:rsid w:val="0033625C"/>
    <w:rsid w:val="00336BDA"/>
    <w:rsid w:val="00336BDE"/>
    <w:rsid w:val="00337EF4"/>
    <w:rsid w:val="0034293C"/>
    <w:rsid w:val="00342BD7"/>
    <w:rsid w:val="00342ED6"/>
    <w:rsid w:val="0034308B"/>
    <w:rsid w:val="003443CE"/>
    <w:rsid w:val="00344D4D"/>
    <w:rsid w:val="003457FA"/>
    <w:rsid w:val="003460ED"/>
    <w:rsid w:val="00346DB5"/>
    <w:rsid w:val="003475E9"/>
    <w:rsid w:val="003477B1"/>
    <w:rsid w:val="00352C63"/>
    <w:rsid w:val="00354C77"/>
    <w:rsid w:val="003557F5"/>
    <w:rsid w:val="00356173"/>
    <w:rsid w:val="00357380"/>
    <w:rsid w:val="003602D9"/>
    <w:rsid w:val="00360456"/>
    <w:rsid w:val="003604CE"/>
    <w:rsid w:val="003673E0"/>
    <w:rsid w:val="003676AC"/>
    <w:rsid w:val="00370C22"/>
    <w:rsid w:val="00370E47"/>
    <w:rsid w:val="00372799"/>
    <w:rsid w:val="003740BE"/>
    <w:rsid w:val="003742AC"/>
    <w:rsid w:val="00374A64"/>
    <w:rsid w:val="00375A8F"/>
    <w:rsid w:val="00375B7F"/>
    <w:rsid w:val="003764C2"/>
    <w:rsid w:val="00376D3B"/>
    <w:rsid w:val="00377CE1"/>
    <w:rsid w:val="00381057"/>
    <w:rsid w:val="003837C6"/>
    <w:rsid w:val="003841DA"/>
    <w:rsid w:val="00385BF0"/>
    <w:rsid w:val="0038705E"/>
    <w:rsid w:val="00390CCA"/>
    <w:rsid w:val="003911FD"/>
    <w:rsid w:val="003939FF"/>
    <w:rsid w:val="00393C98"/>
    <w:rsid w:val="00394877"/>
    <w:rsid w:val="00395EFE"/>
    <w:rsid w:val="00396428"/>
    <w:rsid w:val="003A034E"/>
    <w:rsid w:val="003A0E68"/>
    <w:rsid w:val="003A1446"/>
    <w:rsid w:val="003A1B92"/>
    <w:rsid w:val="003A1DAA"/>
    <w:rsid w:val="003A2223"/>
    <w:rsid w:val="003A25A3"/>
    <w:rsid w:val="003A2A0F"/>
    <w:rsid w:val="003A4266"/>
    <w:rsid w:val="003A45A1"/>
    <w:rsid w:val="003A5B0A"/>
    <w:rsid w:val="003A5CE7"/>
    <w:rsid w:val="003A6BAC"/>
    <w:rsid w:val="003A70A4"/>
    <w:rsid w:val="003A756D"/>
    <w:rsid w:val="003A7EF3"/>
    <w:rsid w:val="003B02C3"/>
    <w:rsid w:val="003B159C"/>
    <w:rsid w:val="003B163E"/>
    <w:rsid w:val="003B369F"/>
    <w:rsid w:val="003B36A3"/>
    <w:rsid w:val="003B3958"/>
    <w:rsid w:val="003B5257"/>
    <w:rsid w:val="003B5D95"/>
    <w:rsid w:val="003B64BB"/>
    <w:rsid w:val="003B6A21"/>
    <w:rsid w:val="003B7FE5"/>
    <w:rsid w:val="003C0D2E"/>
    <w:rsid w:val="003C11C8"/>
    <w:rsid w:val="003C1A5C"/>
    <w:rsid w:val="003C2702"/>
    <w:rsid w:val="003C284D"/>
    <w:rsid w:val="003C56D1"/>
    <w:rsid w:val="003C7806"/>
    <w:rsid w:val="003C79A4"/>
    <w:rsid w:val="003D109F"/>
    <w:rsid w:val="003D1C30"/>
    <w:rsid w:val="003D2478"/>
    <w:rsid w:val="003D3C45"/>
    <w:rsid w:val="003D5B1F"/>
    <w:rsid w:val="003E07D5"/>
    <w:rsid w:val="003E15FA"/>
    <w:rsid w:val="003E1F67"/>
    <w:rsid w:val="003E55E4"/>
    <w:rsid w:val="003E5B64"/>
    <w:rsid w:val="003E74E3"/>
    <w:rsid w:val="003F05C7"/>
    <w:rsid w:val="003F2CD4"/>
    <w:rsid w:val="003F3A2E"/>
    <w:rsid w:val="003F55CB"/>
    <w:rsid w:val="003F6BBE"/>
    <w:rsid w:val="004000E8"/>
    <w:rsid w:val="004013E3"/>
    <w:rsid w:val="00402E2B"/>
    <w:rsid w:val="0040512B"/>
    <w:rsid w:val="00405CA5"/>
    <w:rsid w:val="00407360"/>
    <w:rsid w:val="00407CD3"/>
    <w:rsid w:val="00410134"/>
    <w:rsid w:val="00410991"/>
    <w:rsid w:val="00410B72"/>
    <w:rsid w:val="00410F18"/>
    <w:rsid w:val="0041263E"/>
    <w:rsid w:val="004128B1"/>
    <w:rsid w:val="00413AAC"/>
    <w:rsid w:val="00413E92"/>
    <w:rsid w:val="00416E09"/>
    <w:rsid w:val="00416F32"/>
    <w:rsid w:val="00417B83"/>
    <w:rsid w:val="00417BF3"/>
    <w:rsid w:val="004204A6"/>
    <w:rsid w:val="00421105"/>
    <w:rsid w:val="0042245F"/>
    <w:rsid w:val="00422AA4"/>
    <w:rsid w:val="00422C55"/>
    <w:rsid w:val="004242F4"/>
    <w:rsid w:val="00425CC7"/>
    <w:rsid w:val="00427248"/>
    <w:rsid w:val="0042738B"/>
    <w:rsid w:val="00432C9A"/>
    <w:rsid w:val="0043353E"/>
    <w:rsid w:val="0043388A"/>
    <w:rsid w:val="00433CA4"/>
    <w:rsid w:val="00435C0F"/>
    <w:rsid w:val="00436137"/>
    <w:rsid w:val="00437447"/>
    <w:rsid w:val="004378F4"/>
    <w:rsid w:val="0044039D"/>
    <w:rsid w:val="0044130B"/>
    <w:rsid w:val="00441A92"/>
    <w:rsid w:val="00442DD3"/>
    <w:rsid w:val="00443145"/>
    <w:rsid w:val="004431DC"/>
    <w:rsid w:val="0044380F"/>
    <w:rsid w:val="00444F56"/>
    <w:rsid w:val="00446488"/>
    <w:rsid w:val="004509D9"/>
    <w:rsid w:val="004517AA"/>
    <w:rsid w:val="0045184C"/>
    <w:rsid w:val="00452CAC"/>
    <w:rsid w:val="00453779"/>
    <w:rsid w:val="004548AA"/>
    <w:rsid w:val="00455FEF"/>
    <w:rsid w:val="00457565"/>
    <w:rsid w:val="00457B71"/>
    <w:rsid w:val="00461DDF"/>
    <w:rsid w:val="004629B0"/>
    <w:rsid w:val="00466092"/>
    <w:rsid w:val="004669E2"/>
    <w:rsid w:val="00470C31"/>
    <w:rsid w:val="00471DE0"/>
    <w:rsid w:val="00472D57"/>
    <w:rsid w:val="00472FDD"/>
    <w:rsid w:val="004734D0"/>
    <w:rsid w:val="00474F41"/>
    <w:rsid w:val="0047556B"/>
    <w:rsid w:val="00477768"/>
    <w:rsid w:val="00480779"/>
    <w:rsid w:val="00480F6B"/>
    <w:rsid w:val="0048350D"/>
    <w:rsid w:val="004845AD"/>
    <w:rsid w:val="00486F1D"/>
    <w:rsid w:val="004879DE"/>
    <w:rsid w:val="00492BC5"/>
    <w:rsid w:val="004964F1"/>
    <w:rsid w:val="004A0745"/>
    <w:rsid w:val="004A16BC"/>
    <w:rsid w:val="004A230C"/>
    <w:rsid w:val="004A24F7"/>
    <w:rsid w:val="004A2B94"/>
    <w:rsid w:val="004A3541"/>
    <w:rsid w:val="004A53DA"/>
    <w:rsid w:val="004A670D"/>
    <w:rsid w:val="004A7791"/>
    <w:rsid w:val="004A7B50"/>
    <w:rsid w:val="004A7FE3"/>
    <w:rsid w:val="004B0638"/>
    <w:rsid w:val="004B5695"/>
    <w:rsid w:val="004B6F6A"/>
    <w:rsid w:val="004B72E2"/>
    <w:rsid w:val="004B7C0C"/>
    <w:rsid w:val="004C0DD9"/>
    <w:rsid w:val="004C1B5F"/>
    <w:rsid w:val="004C2A06"/>
    <w:rsid w:val="004C2FC9"/>
    <w:rsid w:val="004C3898"/>
    <w:rsid w:val="004C3D1D"/>
    <w:rsid w:val="004C5214"/>
    <w:rsid w:val="004C541D"/>
    <w:rsid w:val="004C742C"/>
    <w:rsid w:val="004C78F9"/>
    <w:rsid w:val="004C7F75"/>
    <w:rsid w:val="004D36B1"/>
    <w:rsid w:val="004D4C0E"/>
    <w:rsid w:val="004D566B"/>
    <w:rsid w:val="004D6FC2"/>
    <w:rsid w:val="004D772A"/>
    <w:rsid w:val="004D7EBD"/>
    <w:rsid w:val="004E0FCA"/>
    <w:rsid w:val="004E2680"/>
    <w:rsid w:val="004E28F9"/>
    <w:rsid w:val="004E462E"/>
    <w:rsid w:val="004E4A99"/>
    <w:rsid w:val="004E4D44"/>
    <w:rsid w:val="004E56DC"/>
    <w:rsid w:val="004E5D68"/>
    <w:rsid w:val="004E6D27"/>
    <w:rsid w:val="004E6E5F"/>
    <w:rsid w:val="004E76F4"/>
    <w:rsid w:val="004E7833"/>
    <w:rsid w:val="004E7E03"/>
    <w:rsid w:val="004F0B4E"/>
    <w:rsid w:val="004F0B6C"/>
    <w:rsid w:val="004F1752"/>
    <w:rsid w:val="004F1E45"/>
    <w:rsid w:val="004F2078"/>
    <w:rsid w:val="004F3348"/>
    <w:rsid w:val="004F4DA3"/>
    <w:rsid w:val="004F5960"/>
    <w:rsid w:val="004F5CE9"/>
    <w:rsid w:val="004F611D"/>
    <w:rsid w:val="004F72D0"/>
    <w:rsid w:val="004F7E34"/>
    <w:rsid w:val="005027C7"/>
    <w:rsid w:val="0050314B"/>
    <w:rsid w:val="00503251"/>
    <w:rsid w:val="00506557"/>
    <w:rsid w:val="0050677A"/>
    <w:rsid w:val="005108D8"/>
    <w:rsid w:val="005116F9"/>
    <w:rsid w:val="00511E0F"/>
    <w:rsid w:val="0051202F"/>
    <w:rsid w:val="00512BF9"/>
    <w:rsid w:val="005142D5"/>
    <w:rsid w:val="005143C0"/>
    <w:rsid w:val="00514B77"/>
    <w:rsid w:val="005153A7"/>
    <w:rsid w:val="00521031"/>
    <w:rsid w:val="005219CF"/>
    <w:rsid w:val="00522453"/>
    <w:rsid w:val="00525B60"/>
    <w:rsid w:val="00527739"/>
    <w:rsid w:val="005310FC"/>
    <w:rsid w:val="0053334B"/>
    <w:rsid w:val="005341C0"/>
    <w:rsid w:val="00534631"/>
    <w:rsid w:val="00534B59"/>
    <w:rsid w:val="00534C38"/>
    <w:rsid w:val="00536759"/>
    <w:rsid w:val="00536A8D"/>
    <w:rsid w:val="0053734A"/>
    <w:rsid w:val="00537C62"/>
    <w:rsid w:val="00540A27"/>
    <w:rsid w:val="005425A4"/>
    <w:rsid w:val="005437B0"/>
    <w:rsid w:val="00544FCD"/>
    <w:rsid w:val="0054502C"/>
    <w:rsid w:val="00545254"/>
    <w:rsid w:val="00545A59"/>
    <w:rsid w:val="00546970"/>
    <w:rsid w:val="00552B91"/>
    <w:rsid w:val="00552DAD"/>
    <w:rsid w:val="00553410"/>
    <w:rsid w:val="00554DCE"/>
    <w:rsid w:val="00554E19"/>
    <w:rsid w:val="00557A61"/>
    <w:rsid w:val="0056117B"/>
    <w:rsid w:val="0056121F"/>
    <w:rsid w:val="00561239"/>
    <w:rsid w:val="0056145B"/>
    <w:rsid w:val="0056348D"/>
    <w:rsid w:val="005653B5"/>
    <w:rsid w:val="00565D94"/>
    <w:rsid w:val="00565F01"/>
    <w:rsid w:val="00570276"/>
    <w:rsid w:val="0057144E"/>
    <w:rsid w:val="005720D7"/>
    <w:rsid w:val="00572505"/>
    <w:rsid w:val="005728EF"/>
    <w:rsid w:val="00576D61"/>
    <w:rsid w:val="005773FE"/>
    <w:rsid w:val="00580700"/>
    <w:rsid w:val="00581D1D"/>
    <w:rsid w:val="00582740"/>
    <w:rsid w:val="00582809"/>
    <w:rsid w:val="00582B36"/>
    <w:rsid w:val="00583915"/>
    <w:rsid w:val="00583D38"/>
    <w:rsid w:val="00583D74"/>
    <w:rsid w:val="00585CFF"/>
    <w:rsid w:val="00586C03"/>
    <w:rsid w:val="0058798C"/>
    <w:rsid w:val="0058798E"/>
    <w:rsid w:val="005900FA"/>
    <w:rsid w:val="005935A4"/>
    <w:rsid w:val="00593F33"/>
    <w:rsid w:val="005948C2"/>
    <w:rsid w:val="00595DCA"/>
    <w:rsid w:val="00596E3E"/>
    <w:rsid w:val="0059779B"/>
    <w:rsid w:val="005A209A"/>
    <w:rsid w:val="005A2DBB"/>
    <w:rsid w:val="005A3142"/>
    <w:rsid w:val="005A4E70"/>
    <w:rsid w:val="005A6173"/>
    <w:rsid w:val="005A620A"/>
    <w:rsid w:val="005A662D"/>
    <w:rsid w:val="005A7350"/>
    <w:rsid w:val="005A7DBC"/>
    <w:rsid w:val="005B0AD1"/>
    <w:rsid w:val="005B1409"/>
    <w:rsid w:val="005B19AC"/>
    <w:rsid w:val="005B35D7"/>
    <w:rsid w:val="005B392A"/>
    <w:rsid w:val="005B3AA3"/>
    <w:rsid w:val="005B4ADF"/>
    <w:rsid w:val="005B5C17"/>
    <w:rsid w:val="005B6F83"/>
    <w:rsid w:val="005C1B17"/>
    <w:rsid w:val="005C601C"/>
    <w:rsid w:val="005C6FF9"/>
    <w:rsid w:val="005C74FB"/>
    <w:rsid w:val="005C7BAA"/>
    <w:rsid w:val="005D0189"/>
    <w:rsid w:val="005D0482"/>
    <w:rsid w:val="005D1602"/>
    <w:rsid w:val="005D2DD1"/>
    <w:rsid w:val="005D56B4"/>
    <w:rsid w:val="005D56E0"/>
    <w:rsid w:val="005D7025"/>
    <w:rsid w:val="005E1F16"/>
    <w:rsid w:val="005E2EE6"/>
    <w:rsid w:val="005E385F"/>
    <w:rsid w:val="005E3A78"/>
    <w:rsid w:val="005E4B4D"/>
    <w:rsid w:val="005E4D4E"/>
    <w:rsid w:val="005E5B81"/>
    <w:rsid w:val="005E6C89"/>
    <w:rsid w:val="005F09AC"/>
    <w:rsid w:val="005F0C3A"/>
    <w:rsid w:val="005F2CB1"/>
    <w:rsid w:val="005F3025"/>
    <w:rsid w:val="005F57F0"/>
    <w:rsid w:val="005F5AC8"/>
    <w:rsid w:val="005F6179"/>
    <w:rsid w:val="005F618C"/>
    <w:rsid w:val="005F70BD"/>
    <w:rsid w:val="005F7372"/>
    <w:rsid w:val="005F7910"/>
    <w:rsid w:val="005F7EB5"/>
    <w:rsid w:val="00600808"/>
    <w:rsid w:val="0060283C"/>
    <w:rsid w:val="0060283D"/>
    <w:rsid w:val="00604F14"/>
    <w:rsid w:val="00605E36"/>
    <w:rsid w:val="00607B3E"/>
    <w:rsid w:val="0061090E"/>
    <w:rsid w:val="006113DE"/>
    <w:rsid w:val="00611B83"/>
    <w:rsid w:val="00613257"/>
    <w:rsid w:val="00613740"/>
    <w:rsid w:val="006178D6"/>
    <w:rsid w:val="00617CFA"/>
    <w:rsid w:val="006202E1"/>
    <w:rsid w:val="006206F0"/>
    <w:rsid w:val="00620A71"/>
    <w:rsid w:val="00620D80"/>
    <w:rsid w:val="00621EA5"/>
    <w:rsid w:val="0062232E"/>
    <w:rsid w:val="0062269E"/>
    <w:rsid w:val="00622779"/>
    <w:rsid w:val="006231FE"/>
    <w:rsid w:val="006234A6"/>
    <w:rsid w:val="00627759"/>
    <w:rsid w:val="00630001"/>
    <w:rsid w:val="00630172"/>
    <w:rsid w:val="00630510"/>
    <w:rsid w:val="00630ABC"/>
    <w:rsid w:val="006311B3"/>
    <w:rsid w:val="0063198B"/>
    <w:rsid w:val="006322CC"/>
    <w:rsid w:val="0063284C"/>
    <w:rsid w:val="006328F2"/>
    <w:rsid w:val="00632C1E"/>
    <w:rsid w:val="00635A3A"/>
    <w:rsid w:val="00635FAE"/>
    <w:rsid w:val="00636398"/>
    <w:rsid w:val="006368D3"/>
    <w:rsid w:val="006377EC"/>
    <w:rsid w:val="0064036E"/>
    <w:rsid w:val="0064151F"/>
    <w:rsid w:val="00641533"/>
    <w:rsid w:val="0064208D"/>
    <w:rsid w:val="00643475"/>
    <w:rsid w:val="0064396A"/>
    <w:rsid w:val="0064624E"/>
    <w:rsid w:val="00650AB9"/>
    <w:rsid w:val="00655733"/>
    <w:rsid w:val="00655ACD"/>
    <w:rsid w:val="00656176"/>
    <w:rsid w:val="00656A92"/>
    <w:rsid w:val="00656DDE"/>
    <w:rsid w:val="0066011D"/>
    <w:rsid w:val="0066012B"/>
    <w:rsid w:val="006607C0"/>
    <w:rsid w:val="00660DE9"/>
    <w:rsid w:val="006613A6"/>
    <w:rsid w:val="006627A2"/>
    <w:rsid w:val="006634E6"/>
    <w:rsid w:val="006637C9"/>
    <w:rsid w:val="00663D39"/>
    <w:rsid w:val="00664461"/>
    <w:rsid w:val="00665170"/>
    <w:rsid w:val="006655EE"/>
    <w:rsid w:val="0066610E"/>
    <w:rsid w:val="00666781"/>
    <w:rsid w:val="00667EE7"/>
    <w:rsid w:val="00670922"/>
    <w:rsid w:val="00670BE1"/>
    <w:rsid w:val="00671CEF"/>
    <w:rsid w:val="0067218F"/>
    <w:rsid w:val="006741F2"/>
    <w:rsid w:val="00674CC3"/>
    <w:rsid w:val="0067553A"/>
    <w:rsid w:val="00675C72"/>
    <w:rsid w:val="006762E8"/>
    <w:rsid w:val="006771F9"/>
    <w:rsid w:val="00677606"/>
    <w:rsid w:val="006776D7"/>
    <w:rsid w:val="00681003"/>
    <w:rsid w:val="006810A2"/>
    <w:rsid w:val="006817C9"/>
    <w:rsid w:val="0068321E"/>
    <w:rsid w:val="006832A0"/>
    <w:rsid w:val="006834C4"/>
    <w:rsid w:val="00683ECE"/>
    <w:rsid w:val="00691E68"/>
    <w:rsid w:val="00692FB2"/>
    <w:rsid w:val="0069314D"/>
    <w:rsid w:val="0069357E"/>
    <w:rsid w:val="006941CB"/>
    <w:rsid w:val="00695171"/>
    <w:rsid w:val="00695FC2"/>
    <w:rsid w:val="0069663C"/>
    <w:rsid w:val="00696949"/>
    <w:rsid w:val="00697052"/>
    <w:rsid w:val="00697C0F"/>
    <w:rsid w:val="006A1970"/>
    <w:rsid w:val="006A263F"/>
    <w:rsid w:val="006A29D1"/>
    <w:rsid w:val="006A2AE4"/>
    <w:rsid w:val="006A2B60"/>
    <w:rsid w:val="006A3399"/>
    <w:rsid w:val="006A46FB"/>
    <w:rsid w:val="006A5E28"/>
    <w:rsid w:val="006A697B"/>
    <w:rsid w:val="006A6B00"/>
    <w:rsid w:val="006A77E0"/>
    <w:rsid w:val="006A7AFF"/>
    <w:rsid w:val="006B1816"/>
    <w:rsid w:val="006B1B14"/>
    <w:rsid w:val="006B2099"/>
    <w:rsid w:val="006B374B"/>
    <w:rsid w:val="006B3803"/>
    <w:rsid w:val="006B4640"/>
    <w:rsid w:val="006B50CF"/>
    <w:rsid w:val="006B716C"/>
    <w:rsid w:val="006C03B8"/>
    <w:rsid w:val="006C12DF"/>
    <w:rsid w:val="006C1424"/>
    <w:rsid w:val="006C5EC9"/>
    <w:rsid w:val="006C6059"/>
    <w:rsid w:val="006C7522"/>
    <w:rsid w:val="006C7DBC"/>
    <w:rsid w:val="006C7E07"/>
    <w:rsid w:val="006D1887"/>
    <w:rsid w:val="006D1CE5"/>
    <w:rsid w:val="006D27E5"/>
    <w:rsid w:val="006D3F5F"/>
    <w:rsid w:val="006D6F08"/>
    <w:rsid w:val="006D7B53"/>
    <w:rsid w:val="006E038E"/>
    <w:rsid w:val="006E05E3"/>
    <w:rsid w:val="006E062C"/>
    <w:rsid w:val="006E0A22"/>
    <w:rsid w:val="006E1205"/>
    <w:rsid w:val="006E1C82"/>
    <w:rsid w:val="006E254F"/>
    <w:rsid w:val="006E28B7"/>
    <w:rsid w:val="006E2A9B"/>
    <w:rsid w:val="006E3062"/>
    <w:rsid w:val="006E3310"/>
    <w:rsid w:val="006E33DD"/>
    <w:rsid w:val="006E3A30"/>
    <w:rsid w:val="006E4E39"/>
    <w:rsid w:val="006E565E"/>
    <w:rsid w:val="006E570F"/>
    <w:rsid w:val="006E673D"/>
    <w:rsid w:val="006E7D3B"/>
    <w:rsid w:val="006F1B70"/>
    <w:rsid w:val="006F2286"/>
    <w:rsid w:val="006F3320"/>
    <w:rsid w:val="006F341D"/>
    <w:rsid w:val="006F3CDE"/>
    <w:rsid w:val="006F52BB"/>
    <w:rsid w:val="006F5626"/>
    <w:rsid w:val="006F58D4"/>
    <w:rsid w:val="006F5C60"/>
    <w:rsid w:val="006F6582"/>
    <w:rsid w:val="00700734"/>
    <w:rsid w:val="007026C9"/>
    <w:rsid w:val="0070346E"/>
    <w:rsid w:val="00703E77"/>
    <w:rsid w:val="00704EDB"/>
    <w:rsid w:val="00704F91"/>
    <w:rsid w:val="00705F08"/>
    <w:rsid w:val="00706101"/>
    <w:rsid w:val="00706709"/>
    <w:rsid w:val="00707072"/>
    <w:rsid w:val="00707715"/>
    <w:rsid w:val="00707B6C"/>
    <w:rsid w:val="00707D61"/>
    <w:rsid w:val="00711D9D"/>
    <w:rsid w:val="00712287"/>
    <w:rsid w:val="0071270B"/>
    <w:rsid w:val="00712772"/>
    <w:rsid w:val="00713A43"/>
    <w:rsid w:val="007148D3"/>
    <w:rsid w:val="00715B9A"/>
    <w:rsid w:val="00716838"/>
    <w:rsid w:val="00716CBD"/>
    <w:rsid w:val="00717171"/>
    <w:rsid w:val="00723603"/>
    <w:rsid w:val="00723AAD"/>
    <w:rsid w:val="0072440E"/>
    <w:rsid w:val="007249E8"/>
    <w:rsid w:val="007257D0"/>
    <w:rsid w:val="007267FC"/>
    <w:rsid w:val="00726B73"/>
    <w:rsid w:val="00726EA6"/>
    <w:rsid w:val="00727208"/>
    <w:rsid w:val="00727680"/>
    <w:rsid w:val="007276D5"/>
    <w:rsid w:val="007302C8"/>
    <w:rsid w:val="00730312"/>
    <w:rsid w:val="00731B9A"/>
    <w:rsid w:val="007348B1"/>
    <w:rsid w:val="007362A6"/>
    <w:rsid w:val="00736943"/>
    <w:rsid w:val="00736D7D"/>
    <w:rsid w:val="00740E58"/>
    <w:rsid w:val="0074249E"/>
    <w:rsid w:val="007445A0"/>
    <w:rsid w:val="0074524B"/>
    <w:rsid w:val="00745756"/>
    <w:rsid w:val="00746515"/>
    <w:rsid w:val="00747382"/>
    <w:rsid w:val="0074764E"/>
    <w:rsid w:val="00747D8B"/>
    <w:rsid w:val="00747EB6"/>
    <w:rsid w:val="00751228"/>
    <w:rsid w:val="00751B7A"/>
    <w:rsid w:val="00751C56"/>
    <w:rsid w:val="00753287"/>
    <w:rsid w:val="0075349B"/>
    <w:rsid w:val="00754188"/>
    <w:rsid w:val="007571E1"/>
    <w:rsid w:val="007604B2"/>
    <w:rsid w:val="007614DA"/>
    <w:rsid w:val="00761E69"/>
    <w:rsid w:val="00764868"/>
    <w:rsid w:val="00764E57"/>
    <w:rsid w:val="00765281"/>
    <w:rsid w:val="00766BAD"/>
    <w:rsid w:val="0077089D"/>
    <w:rsid w:val="00771576"/>
    <w:rsid w:val="007729A2"/>
    <w:rsid w:val="00774833"/>
    <w:rsid w:val="007755F2"/>
    <w:rsid w:val="00776971"/>
    <w:rsid w:val="00776BFA"/>
    <w:rsid w:val="00780A80"/>
    <w:rsid w:val="0078177E"/>
    <w:rsid w:val="007823D0"/>
    <w:rsid w:val="0078304C"/>
    <w:rsid w:val="00783673"/>
    <w:rsid w:val="00785490"/>
    <w:rsid w:val="007863F3"/>
    <w:rsid w:val="0079044B"/>
    <w:rsid w:val="0079079E"/>
    <w:rsid w:val="007925EA"/>
    <w:rsid w:val="00792B4E"/>
    <w:rsid w:val="00793CD8"/>
    <w:rsid w:val="007956FB"/>
    <w:rsid w:val="00795C92"/>
    <w:rsid w:val="00796231"/>
    <w:rsid w:val="007972C0"/>
    <w:rsid w:val="007A0368"/>
    <w:rsid w:val="007A1C68"/>
    <w:rsid w:val="007A1CB3"/>
    <w:rsid w:val="007A26B4"/>
    <w:rsid w:val="007A306F"/>
    <w:rsid w:val="007A4256"/>
    <w:rsid w:val="007A43A6"/>
    <w:rsid w:val="007A4BD0"/>
    <w:rsid w:val="007A58A6"/>
    <w:rsid w:val="007A6EF6"/>
    <w:rsid w:val="007A777F"/>
    <w:rsid w:val="007B0693"/>
    <w:rsid w:val="007B353E"/>
    <w:rsid w:val="007B3D2D"/>
    <w:rsid w:val="007B50AE"/>
    <w:rsid w:val="007B51DF"/>
    <w:rsid w:val="007B7999"/>
    <w:rsid w:val="007C05DD"/>
    <w:rsid w:val="007C1F93"/>
    <w:rsid w:val="007C322F"/>
    <w:rsid w:val="007C3788"/>
    <w:rsid w:val="007C3D18"/>
    <w:rsid w:val="007C3EF5"/>
    <w:rsid w:val="007C4638"/>
    <w:rsid w:val="007C56B4"/>
    <w:rsid w:val="007C60BF"/>
    <w:rsid w:val="007C6571"/>
    <w:rsid w:val="007C6A07"/>
    <w:rsid w:val="007C75A1"/>
    <w:rsid w:val="007C75A8"/>
    <w:rsid w:val="007C77A5"/>
    <w:rsid w:val="007D04E5"/>
    <w:rsid w:val="007D13D0"/>
    <w:rsid w:val="007D195E"/>
    <w:rsid w:val="007D2691"/>
    <w:rsid w:val="007D396D"/>
    <w:rsid w:val="007D3FC3"/>
    <w:rsid w:val="007D41F2"/>
    <w:rsid w:val="007D5901"/>
    <w:rsid w:val="007D5DED"/>
    <w:rsid w:val="007D6492"/>
    <w:rsid w:val="007D7526"/>
    <w:rsid w:val="007D765A"/>
    <w:rsid w:val="007D7FE4"/>
    <w:rsid w:val="007E3B95"/>
    <w:rsid w:val="007E3C11"/>
    <w:rsid w:val="007E4610"/>
    <w:rsid w:val="007E4715"/>
    <w:rsid w:val="007E505B"/>
    <w:rsid w:val="007E5134"/>
    <w:rsid w:val="007E7091"/>
    <w:rsid w:val="007E7D59"/>
    <w:rsid w:val="007F3597"/>
    <w:rsid w:val="007F3D32"/>
    <w:rsid w:val="007F3FC5"/>
    <w:rsid w:val="007F4A40"/>
    <w:rsid w:val="007F542D"/>
    <w:rsid w:val="007F5E9D"/>
    <w:rsid w:val="007F5EA4"/>
    <w:rsid w:val="007F78FF"/>
    <w:rsid w:val="00800397"/>
    <w:rsid w:val="0080076A"/>
    <w:rsid w:val="00802C04"/>
    <w:rsid w:val="00803FAE"/>
    <w:rsid w:val="0080605F"/>
    <w:rsid w:val="0080623D"/>
    <w:rsid w:val="008073E1"/>
    <w:rsid w:val="00807786"/>
    <w:rsid w:val="0081140B"/>
    <w:rsid w:val="00811FCB"/>
    <w:rsid w:val="008158D6"/>
    <w:rsid w:val="008164D2"/>
    <w:rsid w:val="00817196"/>
    <w:rsid w:val="00817A8B"/>
    <w:rsid w:val="008207A8"/>
    <w:rsid w:val="00820958"/>
    <w:rsid w:val="008235DB"/>
    <w:rsid w:val="00823B6B"/>
    <w:rsid w:val="00824AB4"/>
    <w:rsid w:val="00825C42"/>
    <w:rsid w:val="00825D25"/>
    <w:rsid w:val="00827D6F"/>
    <w:rsid w:val="008346D7"/>
    <w:rsid w:val="00835F53"/>
    <w:rsid w:val="00837518"/>
    <w:rsid w:val="008376AC"/>
    <w:rsid w:val="008411C1"/>
    <w:rsid w:val="008418EE"/>
    <w:rsid w:val="00843099"/>
    <w:rsid w:val="00843D9B"/>
    <w:rsid w:val="00843DD7"/>
    <w:rsid w:val="008444E8"/>
    <w:rsid w:val="008445C4"/>
    <w:rsid w:val="00844DAC"/>
    <w:rsid w:val="00844E80"/>
    <w:rsid w:val="0084567F"/>
    <w:rsid w:val="00846294"/>
    <w:rsid w:val="00846FE7"/>
    <w:rsid w:val="008502F7"/>
    <w:rsid w:val="00852095"/>
    <w:rsid w:val="008535C0"/>
    <w:rsid w:val="008565BA"/>
    <w:rsid w:val="00856911"/>
    <w:rsid w:val="0086105D"/>
    <w:rsid w:val="00862E22"/>
    <w:rsid w:val="00864E06"/>
    <w:rsid w:val="008677FD"/>
    <w:rsid w:val="008706D4"/>
    <w:rsid w:val="00870F8A"/>
    <w:rsid w:val="008719A4"/>
    <w:rsid w:val="00871BA9"/>
    <w:rsid w:val="00871D23"/>
    <w:rsid w:val="00871D89"/>
    <w:rsid w:val="00874312"/>
    <w:rsid w:val="0087437C"/>
    <w:rsid w:val="00874570"/>
    <w:rsid w:val="00875CD7"/>
    <w:rsid w:val="00875FDC"/>
    <w:rsid w:val="0087636B"/>
    <w:rsid w:val="00876B4D"/>
    <w:rsid w:val="00877F18"/>
    <w:rsid w:val="008803A4"/>
    <w:rsid w:val="00881C9C"/>
    <w:rsid w:val="008824F2"/>
    <w:rsid w:val="00882F71"/>
    <w:rsid w:val="008835DF"/>
    <w:rsid w:val="00884AEF"/>
    <w:rsid w:val="008855D3"/>
    <w:rsid w:val="00887C30"/>
    <w:rsid w:val="00892769"/>
    <w:rsid w:val="00893E85"/>
    <w:rsid w:val="008941E3"/>
    <w:rsid w:val="00894A88"/>
    <w:rsid w:val="00895386"/>
    <w:rsid w:val="00897516"/>
    <w:rsid w:val="008A21FF"/>
    <w:rsid w:val="008A247A"/>
    <w:rsid w:val="008A2CE2"/>
    <w:rsid w:val="008A30AC"/>
    <w:rsid w:val="008A33C6"/>
    <w:rsid w:val="008A4213"/>
    <w:rsid w:val="008A44B8"/>
    <w:rsid w:val="008A4F52"/>
    <w:rsid w:val="008A51A8"/>
    <w:rsid w:val="008A54C7"/>
    <w:rsid w:val="008A64E8"/>
    <w:rsid w:val="008A77D8"/>
    <w:rsid w:val="008A7ADF"/>
    <w:rsid w:val="008B0483"/>
    <w:rsid w:val="008B120C"/>
    <w:rsid w:val="008B4D8D"/>
    <w:rsid w:val="008B51A0"/>
    <w:rsid w:val="008B539A"/>
    <w:rsid w:val="008B592A"/>
    <w:rsid w:val="008B5FD6"/>
    <w:rsid w:val="008B7B5C"/>
    <w:rsid w:val="008C0C99"/>
    <w:rsid w:val="008C14C1"/>
    <w:rsid w:val="008C2017"/>
    <w:rsid w:val="008C2466"/>
    <w:rsid w:val="008C2EB3"/>
    <w:rsid w:val="008C4958"/>
    <w:rsid w:val="008C4BAA"/>
    <w:rsid w:val="008C5276"/>
    <w:rsid w:val="008C6AE8"/>
    <w:rsid w:val="008C7573"/>
    <w:rsid w:val="008D00A5"/>
    <w:rsid w:val="008D0A44"/>
    <w:rsid w:val="008D2512"/>
    <w:rsid w:val="008D34F1"/>
    <w:rsid w:val="008D39D8"/>
    <w:rsid w:val="008D3A8F"/>
    <w:rsid w:val="008D3AC0"/>
    <w:rsid w:val="008D3B08"/>
    <w:rsid w:val="008D452F"/>
    <w:rsid w:val="008D6D1A"/>
    <w:rsid w:val="008D716B"/>
    <w:rsid w:val="008E065E"/>
    <w:rsid w:val="008E090F"/>
    <w:rsid w:val="008E0927"/>
    <w:rsid w:val="008E0C6C"/>
    <w:rsid w:val="008E1909"/>
    <w:rsid w:val="008E2595"/>
    <w:rsid w:val="008E2A85"/>
    <w:rsid w:val="008E2B97"/>
    <w:rsid w:val="008E418A"/>
    <w:rsid w:val="008E52FB"/>
    <w:rsid w:val="008E65F4"/>
    <w:rsid w:val="008F1C4E"/>
    <w:rsid w:val="008F1EAB"/>
    <w:rsid w:val="008F30E2"/>
    <w:rsid w:val="008F33DC"/>
    <w:rsid w:val="008F3B11"/>
    <w:rsid w:val="008F477F"/>
    <w:rsid w:val="008F4D07"/>
    <w:rsid w:val="008F5D2D"/>
    <w:rsid w:val="008F6762"/>
    <w:rsid w:val="008F7C93"/>
    <w:rsid w:val="00900590"/>
    <w:rsid w:val="00902350"/>
    <w:rsid w:val="00902E6B"/>
    <w:rsid w:val="0090336B"/>
    <w:rsid w:val="00903719"/>
    <w:rsid w:val="00903FB0"/>
    <w:rsid w:val="0090401B"/>
    <w:rsid w:val="009051E7"/>
    <w:rsid w:val="009053AA"/>
    <w:rsid w:val="00905497"/>
    <w:rsid w:val="00906939"/>
    <w:rsid w:val="009104A7"/>
    <w:rsid w:val="00910B7D"/>
    <w:rsid w:val="00911676"/>
    <w:rsid w:val="00911DFB"/>
    <w:rsid w:val="00912BE8"/>
    <w:rsid w:val="009139D9"/>
    <w:rsid w:val="00914AD8"/>
    <w:rsid w:val="00915AE7"/>
    <w:rsid w:val="00916079"/>
    <w:rsid w:val="00917CE9"/>
    <w:rsid w:val="00920922"/>
    <w:rsid w:val="00920BF2"/>
    <w:rsid w:val="00921F68"/>
    <w:rsid w:val="00922010"/>
    <w:rsid w:val="00924CE8"/>
    <w:rsid w:val="00925F3F"/>
    <w:rsid w:val="009264D9"/>
    <w:rsid w:val="009269A9"/>
    <w:rsid w:val="00927926"/>
    <w:rsid w:val="00931BD9"/>
    <w:rsid w:val="00931D46"/>
    <w:rsid w:val="00933E8D"/>
    <w:rsid w:val="00936658"/>
    <w:rsid w:val="009368F3"/>
    <w:rsid w:val="00940746"/>
    <w:rsid w:val="009409B8"/>
    <w:rsid w:val="00941636"/>
    <w:rsid w:val="00941F34"/>
    <w:rsid w:val="00943742"/>
    <w:rsid w:val="0094380F"/>
    <w:rsid w:val="0094450E"/>
    <w:rsid w:val="00945C05"/>
    <w:rsid w:val="00946945"/>
    <w:rsid w:val="00947713"/>
    <w:rsid w:val="00950DE7"/>
    <w:rsid w:val="00951566"/>
    <w:rsid w:val="009530A9"/>
    <w:rsid w:val="009531E6"/>
    <w:rsid w:val="0095358A"/>
    <w:rsid w:val="00953920"/>
    <w:rsid w:val="00953D47"/>
    <w:rsid w:val="0095681E"/>
    <w:rsid w:val="00956AE4"/>
    <w:rsid w:val="009572D4"/>
    <w:rsid w:val="00961921"/>
    <w:rsid w:val="00962688"/>
    <w:rsid w:val="00962FDC"/>
    <w:rsid w:val="0096430A"/>
    <w:rsid w:val="0096554B"/>
    <w:rsid w:val="0096584A"/>
    <w:rsid w:val="00966062"/>
    <w:rsid w:val="00970CB5"/>
    <w:rsid w:val="00971F08"/>
    <w:rsid w:val="00972F8D"/>
    <w:rsid w:val="009733FC"/>
    <w:rsid w:val="0097603D"/>
    <w:rsid w:val="00976949"/>
    <w:rsid w:val="009770C8"/>
    <w:rsid w:val="009778E4"/>
    <w:rsid w:val="00980477"/>
    <w:rsid w:val="00981A87"/>
    <w:rsid w:val="00981E0E"/>
    <w:rsid w:val="009842D0"/>
    <w:rsid w:val="009851E0"/>
    <w:rsid w:val="00985253"/>
    <w:rsid w:val="009853B3"/>
    <w:rsid w:val="00985D59"/>
    <w:rsid w:val="00986EC7"/>
    <w:rsid w:val="00990630"/>
    <w:rsid w:val="009913D4"/>
    <w:rsid w:val="00991761"/>
    <w:rsid w:val="009943D4"/>
    <w:rsid w:val="00994DCA"/>
    <w:rsid w:val="009960EC"/>
    <w:rsid w:val="009970DD"/>
    <w:rsid w:val="009A0FBA"/>
    <w:rsid w:val="009A1601"/>
    <w:rsid w:val="009A1707"/>
    <w:rsid w:val="009A2CBA"/>
    <w:rsid w:val="009A3BB6"/>
    <w:rsid w:val="009A462D"/>
    <w:rsid w:val="009A5CBA"/>
    <w:rsid w:val="009B1401"/>
    <w:rsid w:val="009B1F30"/>
    <w:rsid w:val="009B2A2A"/>
    <w:rsid w:val="009B2FF9"/>
    <w:rsid w:val="009B3580"/>
    <w:rsid w:val="009B3AC2"/>
    <w:rsid w:val="009B4DF4"/>
    <w:rsid w:val="009B564E"/>
    <w:rsid w:val="009B7E87"/>
    <w:rsid w:val="009C0169"/>
    <w:rsid w:val="009C093C"/>
    <w:rsid w:val="009C403E"/>
    <w:rsid w:val="009D4FF0"/>
    <w:rsid w:val="009D64C7"/>
    <w:rsid w:val="009D703C"/>
    <w:rsid w:val="009D718F"/>
    <w:rsid w:val="009E068F"/>
    <w:rsid w:val="009E075E"/>
    <w:rsid w:val="009E13D1"/>
    <w:rsid w:val="009E14E0"/>
    <w:rsid w:val="009E154B"/>
    <w:rsid w:val="009E24EB"/>
    <w:rsid w:val="009E35DB"/>
    <w:rsid w:val="009E47A3"/>
    <w:rsid w:val="009E5DC8"/>
    <w:rsid w:val="009E6127"/>
    <w:rsid w:val="009F08F3"/>
    <w:rsid w:val="009F1734"/>
    <w:rsid w:val="009F1BAF"/>
    <w:rsid w:val="009F30AF"/>
    <w:rsid w:val="009F344F"/>
    <w:rsid w:val="009F3F1B"/>
    <w:rsid w:val="009F3FB0"/>
    <w:rsid w:val="009F70D4"/>
    <w:rsid w:val="00A0029F"/>
    <w:rsid w:val="00A00EDD"/>
    <w:rsid w:val="00A01B94"/>
    <w:rsid w:val="00A025C8"/>
    <w:rsid w:val="00A031D8"/>
    <w:rsid w:val="00A048A8"/>
    <w:rsid w:val="00A04F49"/>
    <w:rsid w:val="00A06D5D"/>
    <w:rsid w:val="00A11392"/>
    <w:rsid w:val="00A13E54"/>
    <w:rsid w:val="00A144A4"/>
    <w:rsid w:val="00A155C7"/>
    <w:rsid w:val="00A15A0B"/>
    <w:rsid w:val="00A15EA1"/>
    <w:rsid w:val="00A16D8E"/>
    <w:rsid w:val="00A16EC2"/>
    <w:rsid w:val="00A17F63"/>
    <w:rsid w:val="00A212E8"/>
    <w:rsid w:val="00A2193B"/>
    <w:rsid w:val="00A21C7E"/>
    <w:rsid w:val="00A22B8B"/>
    <w:rsid w:val="00A22DCC"/>
    <w:rsid w:val="00A2351A"/>
    <w:rsid w:val="00A23794"/>
    <w:rsid w:val="00A26377"/>
    <w:rsid w:val="00A264A9"/>
    <w:rsid w:val="00A26587"/>
    <w:rsid w:val="00A26DCF"/>
    <w:rsid w:val="00A27785"/>
    <w:rsid w:val="00A30187"/>
    <w:rsid w:val="00A3034A"/>
    <w:rsid w:val="00A32CAA"/>
    <w:rsid w:val="00A3448A"/>
    <w:rsid w:val="00A36297"/>
    <w:rsid w:val="00A36801"/>
    <w:rsid w:val="00A372C7"/>
    <w:rsid w:val="00A37B31"/>
    <w:rsid w:val="00A37F0B"/>
    <w:rsid w:val="00A41E2B"/>
    <w:rsid w:val="00A42A94"/>
    <w:rsid w:val="00A43898"/>
    <w:rsid w:val="00A44024"/>
    <w:rsid w:val="00A44248"/>
    <w:rsid w:val="00A45B74"/>
    <w:rsid w:val="00A477F1"/>
    <w:rsid w:val="00A47F7B"/>
    <w:rsid w:val="00A52E1D"/>
    <w:rsid w:val="00A569C5"/>
    <w:rsid w:val="00A61499"/>
    <w:rsid w:val="00A61E43"/>
    <w:rsid w:val="00A62A77"/>
    <w:rsid w:val="00A63483"/>
    <w:rsid w:val="00A657D7"/>
    <w:rsid w:val="00A65BEA"/>
    <w:rsid w:val="00A660AC"/>
    <w:rsid w:val="00A67E6C"/>
    <w:rsid w:val="00A71B99"/>
    <w:rsid w:val="00A739D0"/>
    <w:rsid w:val="00A739F1"/>
    <w:rsid w:val="00A756E1"/>
    <w:rsid w:val="00A761D4"/>
    <w:rsid w:val="00A766A4"/>
    <w:rsid w:val="00A770B5"/>
    <w:rsid w:val="00A779B5"/>
    <w:rsid w:val="00A77EC4"/>
    <w:rsid w:val="00A800D6"/>
    <w:rsid w:val="00A8013F"/>
    <w:rsid w:val="00A81AA8"/>
    <w:rsid w:val="00A81B85"/>
    <w:rsid w:val="00A84F7A"/>
    <w:rsid w:val="00A90326"/>
    <w:rsid w:val="00A9104C"/>
    <w:rsid w:val="00A91F88"/>
    <w:rsid w:val="00A92879"/>
    <w:rsid w:val="00A92D66"/>
    <w:rsid w:val="00A92DFD"/>
    <w:rsid w:val="00A9442A"/>
    <w:rsid w:val="00A95901"/>
    <w:rsid w:val="00A96CA1"/>
    <w:rsid w:val="00AA016F"/>
    <w:rsid w:val="00AA1ED6"/>
    <w:rsid w:val="00AA51D6"/>
    <w:rsid w:val="00AA54DD"/>
    <w:rsid w:val="00AA59A1"/>
    <w:rsid w:val="00AB0BC8"/>
    <w:rsid w:val="00AB11CA"/>
    <w:rsid w:val="00AB14D9"/>
    <w:rsid w:val="00AB1688"/>
    <w:rsid w:val="00AB37F9"/>
    <w:rsid w:val="00AB4AB8"/>
    <w:rsid w:val="00AB57E9"/>
    <w:rsid w:val="00AB655E"/>
    <w:rsid w:val="00AB65CE"/>
    <w:rsid w:val="00AC007F"/>
    <w:rsid w:val="00AC222B"/>
    <w:rsid w:val="00AC2C80"/>
    <w:rsid w:val="00AC2ECD"/>
    <w:rsid w:val="00AC3119"/>
    <w:rsid w:val="00AC3E98"/>
    <w:rsid w:val="00AC49FB"/>
    <w:rsid w:val="00AC5605"/>
    <w:rsid w:val="00AC5A10"/>
    <w:rsid w:val="00AC5A72"/>
    <w:rsid w:val="00AC6B5C"/>
    <w:rsid w:val="00AD0A3A"/>
    <w:rsid w:val="00AD0AA3"/>
    <w:rsid w:val="00AD0AE3"/>
    <w:rsid w:val="00AD1832"/>
    <w:rsid w:val="00AD1B01"/>
    <w:rsid w:val="00AD1F88"/>
    <w:rsid w:val="00AD2611"/>
    <w:rsid w:val="00AD2ED0"/>
    <w:rsid w:val="00AD3B7E"/>
    <w:rsid w:val="00AD3F94"/>
    <w:rsid w:val="00AD4A5A"/>
    <w:rsid w:val="00AE27AC"/>
    <w:rsid w:val="00AE30E5"/>
    <w:rsid w:val="00AE40E0"/>
    <w:rsid w:val="00AE48F7"/>
    <w:rsid w:val="00AE4AFB"/>
    <w:rsid w:val="00AE4DBA"/>
    <w:rsid w:val="00AE4F07"/>
    <w:rsid w:val="00AE75B1"/>
    <w:rsid w:val="00AF05E4"/>
    <w:rsid w:val="00AF1C5D"/>
    <w:rsid w:val="00AF25B4"/>
    <w:rsid w:val="00AF42D7"/>
    <w:rsid w:val="00AF677D"/>
    <w:rsid w:val="00AF678F"/>
    <w:rsid w:val="00B004FB"/>
    <w:rsid w:val="00B006FE"/>
    <w:rsid w:val="00B007CB"/>
    <w:rsid w:val="00B01C83"/>
    <w:rsid w:val="00B02AA9"/>
    <w:rsid w:val="00B02FA3"/>
    <w:rsid w:val="00B03DF0"/>
    <w:rsid w:val="00B05084"/>
    <w:rsid w:val="00B06A3C"/>
    <w:rsid w:val="00B076DB"/>
    <w:rsid w:val="00B11E15"/>
    <w:rsid w:val="00B129A2"/>
    <w:rsid w:val="00B157F9"/>
    <w:rsid w:val="00B20256"/>
    <w:rsid w:val="00B205F6"/>
    <w:rsid w:val="00B20D09"/>
    <w:rsid w:val="00B222D3"/>
    <w:rsid w:val="00B223C2"/>
    <w:rsid w:val="00B236DA"/>
    <w:rsid w:val="00B2542C"/>
    <w:rsid w:val="00B275AA"/>
    <w:rsid w:val="00B2763F"/>
    <w:rsid w:val="00B27AAC"/>
    <w:rsid w:val="00B27AD2"/>
    <w:rsid w:val="00B30929"/>
    <w:rsid w:val="00B31E46"/>
    <w:rsid w:val="00B32B0C"/>
    <w:rsid w:val="00B33A20"/>
    <w:rsid w:val="00B349E2"/>
    <w:rsid w:val="00B34FCF"/>
    <w:rsid w:val="00B356DD"/>
    <w:rsid w:val="00B372AA"/>
    <w:rsid w:val="00B37501"/>
    <w:rsid w:val="00B400F1"/>
    <w:rsid w:val="00B40445"/>
    <w:rsid w:val="00B409E0"/>
    <w:rsid w:val="00B41888"/>
    <w:rsid w:val="00B43119"/>
    <w:rsid w:val="00B455A1"/>
    <w:rsid w:val="00B458C1"/>
    <w:rsid w:val="00B45A52"/>
    <w:rsid w:val="00B46175"/>
    <w:rsid w:val="00B50272"/>
    <w:rsid w:val="00B50749"/>
    <w:rsid w:val="00B548B7"/>
    <w:rsid w:val="00B54BBD"/>
    <w:rsid w:val="00B554C6"/>
    <w:rsid w:val="00B61F86"/>
    <w:rsid w:val="00B636A4"/>
    <w:rsid w:val="00B6379E"/>
    <w:rsid w:val="00B640C9"/>
    <w:rsid w:val="00B643C9"/>
    <w:rsid w:val="00B65E6A"/>
    <w:rsid w:val="00B664C7"/>
    <w:rsid w:val="00B70D22"/>
    <w:rsid w:val="00B7165B"/>
    <w:rsid w:val="00B726AA"/>
    <w:rsid w:val="00B72771"/>
    <w:rsid w:val="00B739F6"/>
    <w:rsid w:val="00B73F7F"/>
    <w:rsid w:val="00B75C60"/>
    <w:rsid w:val="00B81A6C"/>
    <w:rsid w:val="00B84645"/>
    <w:rsid w:val="00B85DE5"/>
    <w:rsid w:val="00B863E8"/>
    <w:rsid w:val="00B877F6"/>
    <w:rsid w:val="00B8788F"/>
    <w:rsid w:val="00B90F73"/>
    <w:rsid w:val="00B92FA4"/>
    <w:rsid w:val="00B93B59"/>
    <w:rsid w:val="00B9406A"/>
    <w:rsid w:val="00B942B0"/>
    <w:rsid w:val="00B96ECC"/>
    <w:rsid w:val="00B9703D"/>
    <w:rsid w:val="00BA2280"/>
    <w:rsid w:val="00BA2A08"/>
    <w:rsid w:val="00BA368B"/>
    <w:rsid w:val="00BA3F4F"/>
    <w:rsid w:val="00BA5169"/>
    <w:rsid w:val="00BA56D2"/>
    <w:rsid w:val="00BA7141"/>
    <w:rsid w:val="00BA76E0"/>
    <w:rsid w:val="00BB10A7"/>
    <w:rsid w:val="00BB2A25"/>
    <w:rsid w:val="00BB3B1E"/>
    <w:rsid w:val="00BB3B5D"/>
    <w:rsid w:val="00BB514A"/>
    <w:rsid w:val="00BB51E9"/>
    <w:rsid w:val="00BB58E3"/>
    <w:rsid w:val="00BB76D6"/>
    <w:rsid w:val="00BC0860"/>
    <w:rsid w:val="00BC0FDC"/>
    <w:rsid w:val="00BC16BF"/>
    <w:rsid w:val="00BC3053"/>
    <w:rsid w:val="00BC4CA3"/>
    <w:rsid w:val="00BC4D2E"/>
    <w:rsid w:val="00BC6269"/>
    <w:rsid w:val="00BC6CA9"/>
    <w:rsid w:val="00BC7E50"/>
    <w:rsid w:val="00BD057A"/>
    <w:rsid w:val="00BD48AC"/>
    <w:rsid w:val="00BD5F1A"/>
    <w:rsid w:val="00BD60EC"/>
    <w:rsid w:val="00BD7C40"/>
    <w:rsid w:val="00BD7E45"/>
    <w:rsid w:val="00BE1234"/>
    <w:rsid w:val="00BE1C5C"/>
    <w:rsid w:val="00BE2FA6"/>
    <w:rsid w:val="00BE314D"/>
    <w:rsid w:val="00BE333F"/>
    <w:rsid w:val="00BE37E7"/>
    <w:rsid w:val="00BE58A3"/>
    <w:rsid w:val="00BE5A5B"/>
    <w:rsid w:val="00BE7406"/>
    <w:rsid w:val="00BE7603"/>
    <w:rsid w:val="00BF072F"/>
    <w:rsid w:val="00BF3279"/>
    <w:rsid w:val="00BF3943"/>
    <w:rsid w:val="00BF74C7"/>
    <w:rsid w:val="00C015F1"/>
    <w:rsid w:val="00C01727"/>
    <w:rsid w:val="00C01F33"/>
    <w:rsid w:val="00C02CC6"/>
    <w:rsid w:val="00C039CA"/>
    <w:rsid w:val="00C03B12"/>
    <w:rsid w:val="00C040F7"/>
    <w:rsid w:val="00C044AB"/>
    <w:rsid w:val="00C05706"/>
    <w:rsid w:val="00C07377"/>
    <w:rsid w:val="00C10478"/>
    <w:rsid w:val="00C12107"/>
    <w:rsid w:val="00C132D9"/>
    <w:rsid w:val="00C1373F"/>
    <w:rsid w:val="00C143D0"/>
    <w:rsid w:val="00C14D4B"/>
    <w:rsid w:val="00C154BB"/>
    <w:rsid w:val="00C169FB"/>
    <w:rsid w:val="00C21CA9"/>
    <w:rsid w:val="00C23DB7"/>
    <w:rsid w:val="00C24495"/>
    <w:rsid w:val="00C24C52"/>
    <w:rsid w:val="00C26E20"/>
    <w:rsid w:val="00C26EAE"/>
    <w:rsid w:val="00C279B5"/>
    <w:rsid w:val="00C27C45"/>
    <w:rsid w:val="00C303D8"/>
    <w:rsid w:val="00C34AE0"/>
    <w:rsid w:val="00C34CB5"/>
    <w:rsid w:val="00C35B9E"/>
    <w:rsid w:val="00C3719D"/>
    <w:rsid w:val="00C37CB2"/>
    <w:rsid w:val="00C42A06"/>
    <w:rsid w:val="00C473A5"/>
    <w:rsid w:val="00C475CA"/>
    <w:rsid w:val="00C50630"/>
    <w:rsid w:val="00C50A88"/>
    <w:rsid w:val="00C53A81"/>
    <w:rsid w:val="00C54995"/>
    <w:rsid w:val="00C54D41"/>
    <w:rsid w:val="00C56508"/>
    <w:rsid w:val="00C56DEC"/>
    <w:rsid w:val="00C577FF"/>
    <w:rsid w:val="00C60783"/>
    <w:rsid w:val="00C62195"/>
    <w:rsid w:val="00C62DB3"/>
    <w:rsid w:val="00C64672"/>
    <w:rsid w:val="00C65944"/>
    <w:rsid w:val="00C6625B"/>
    <w:rsid w:val="00C66C3D"/>
    <w:rsid w:val="00C67F77"/>
    <w:rsid w:val="00C70539"/>
    <w:rsid w:val="00C70697"/>
    <w:rsid w:val="00C7107A"/>
    <w:rsid w:val="00C72093"/>
    <w:rsid w:val="00C72EF4"/>
    <w:rsid w:val="00C744A7"/>
    <w:rsid w:val="00C744FE"/>
    <w:rsid w:val="00C75D2F"/>
    <w:rsid w:val="00C764A3"/>
    <w:rsid w:val="00C767BE"/>
    <w:rsid w:val="00C76E3C"/>
    <w:rsid w:val="00C80F6B"/>
    <w:rsid w:val="00C81568"/>
    <w:rsid w:val="00C82495"/>
    <w:rsid w:val="00C82810"/>
    <w:rsid w:val="00C83824"/>
    <w:rsid w:val="00C84D52"/>
    <w:rsid w:val="00C9027A"/>
    <w:rsid w:val="00C9068E"/>
    <w:rsid w:val="00C93814"/>
    <w:rsid w:val="00C93C4B"/>
    <w:rsid w:val="00C940CF"/>
    <w:rsid w:val="00C944AB"/>
    <w:rsid w:val="00C950F4"/>
    <w:rsid w:val="00C95471"/>
    <w:rsid w:val="00C95B40"/>
    <w:rsid w:val="00C969A5"/>
    <w:rsid w:val="00C97AF8"/>
    <w:rsid w:val="00CA1ED8"/>
    <w:rsid w:val="00CA3059"/>
    <w:rsid w:val="00CA5DA1"/>
    <w:rsid w:val="00CA6757"/>
    <w:rsid w:val="00CA68CF"/>
    <w:rsid w:val="00CA6A68"/>
    <w:rsid w:val="00CA6B5F"/>
    <w:rsid w:val="00CA6F48"/>
    <w:rsid w:val="00CA6F7D"/>
    <w:rsid w:val="00CA7C55"/>
    <w:rsid w:val="00CB1F63"/>
    <w:rsid w:val="00CB41F3"/>
    <w:rsid w:val="00CB7170"/>
    <w:rsid w:val="00CB7C97"/>
    <w:rsid w:val="00CC040E"/>
    <w:rsid w:val="00CC111F"/>
    <w:rsid w:val="00CC2011"/>
    <w:rsid w:val="00CC3E86"/>
    <w:rsid w:val="00CC3EA0"/>
    <w:rsid w:val="00CC6348"/>
    <w:rsid w:val="00CC65FE"/>
    <w:rsid w:val="00CC7B45"/>
    <w:rsid w:val="00CD1188"/>
    <w:rsid w:val="00CD16E2"/>
    <w:rsid w:val="00CD2ED1"/>
    <w:rsid w:val="00CD337B"/>
    <w:rsid w:val="00CD667E"/>
    <w:rsid w:val="00CD7B11"/>
    <w:rsid w:val="00CE0424"/>
    <w:rsid w:val="00CE0BF7"/>
    <w:rsid w:val="00CE198E"/>
    <w:rsid w:val="00CE39F9"/>
    <w:rsid w:val="00CE62EB"/>
    <w:rsid w:val="00CE6E0D"/>
    <w:rsid w:val="00CE7181"/>
    <w:rsid w:val="00CE7561"/>
    <w:rsid w:val="00CF0159"/>
    <w:rsid w:val="00CF1354"/>
    <w:rsid w:val="00CF37FB"/>
    <w:rsid w:val="00CF3B1F"/>
    <w:rsid w:val="00CF3BF6"/>
    <w:rsid w:val="00CF3DFD"/>
    <w:rsid w:val="00CF4F9B"/>
    <w:rsid w:val="00CF625B"/>
    <w:rsid w:val="00CF687E"/>
    <w:rsid w:val="00D01003"/>
    <w:rsid w:val="00D021C4"/>
    <w:rsid w:val="00D0349B"/>
    <w:rsid w:val="00D044B5"/>
    <w:rsid w:val="00D052E9"/>
    <w:rsid w:val="00D061E0"/>
    <w:rsid w:val="00D07935"/>
    <w:rsid w:val="00D07C4B"/>
    <w:rsid w:val="00D10249"/>
    <w:rsid w:val="00D11444"/>
    <w:rsid w:val="00D1144C"/>
    <w:rsid w:val="00D115C3"/>
    <w:rsid w:val="00D11897"/>
    <w:rsid w:val="00D13135"/>
    <w:rsid w:val="00D13E4E"/>
    <w:rsid w:val="00D153EE"/>
    <w:rsid w:val="00D17365"/>
    <w:rsid w:val="00D174CE"/>
    <w:rsid w:val="00D2238F"/>
    <w:rsid w:val="00D22C51"/>
    <w:rsid w:val="00D239A7"/>
    <w:rsid w:val="00D23F47"/>
    <w:rsid w:val="00D24E59"/>
    <w:rsid w:val="00D276F6"/>
    <w:rsid w:val="00D30C15"/>
    <w:rsid w:val="00D31D10"/>
    <w:rsid w:val="00D321D0"/>
    <w:rsid w:val="00D32220"/>
    <w:rsid w:val="00D33AD8"/>
    <w:rsid w:val="00D35863"/>
    <w:rsid w:val="00D369F3"/>
    <w:rsid w:val="00D36E71"/>
    <w:rsid w:val="00D37D87"/>
    <w:rsid w:val="00D40B33"/>
    <w:rsid w:val="00D41C47"/>
    <w:rsid w:val="00D4318F"/>
    <w:rsid w:val="00D434E4"/>
    <w:rsid w:val="00D438BF"/>
    <w:rsid w:val="00D440F8"/>
    <w:rsid w:val="00D45DA9"/>
    <w:rsid w:val="00D45EC6"/>
    <w:rsid w:val="00D523A9"/>
    <w:rsid w:val="00D53537"/>
    <w:rsid w:val="00D546FF"/>
    <w:rsid w:val="00D55AD5"/>
    <w:rsid w:val="00D5728D"/>
    <w:rsid w:val="00D576CA"/>
    <w:rsid w:val="00D57AAC"/>
    <w:rsid w:val="00D60E9A"/>
    <w:rsid w:val="00D61AF5"/>
    <w:rsid w:val="00D652B5"/>
    <w:rsid w:val="00D66155"/>
    <w:rsid w:val="00D66BA4"/>
    <w:rsid w:val="00D708B0"/>
    <w:rsid w:val="00D7240E"/>
    <w:rsid w:val="00D7337F"/>
    <w:rsid w:val="00D73E62"/>
    <w:rsid w:val="00D768CB"/>
    <w:rsid w:val="00D77B1D"/>
    <w:rsid w:val="00D8021F"/>
    <w:rsid w:val="00D80383"/>
    <w:rsid w:val="00D81715"/>
    <w:rsid w:val="00D823C6"/>
    <w:rsid w:val="00D83209"/>
    <w:rsid w:val="00D8327F"/>
    <w:rsid w:val="00D839F1"/>
    <w:rsid w:val="00D847C3"/>
    <w:rsid w:val="00D85225"/>
    <w:rsid w:val="00D85F43"/>
    <w:rsid w:val="00D86CA3"/>
    <w:rsid w:val="00D871CE"/>
    <w:rsid w:val="00D87920"/>
    <w:rsid w:val="00D90185"/>
    <w:rsid w:val="00D9196D"/>
    <w:rsid w:val="00D92982"/>
    <w:rsid w:val="00DA1C16"/>
    <w:rsid w:val="00DA2137"/>
    <w:rsid w:val="00DA305E"/>
    <w:rsid w:val="00DA5417"/>
    <w:rsid w:val="00DA56E8"/>
    <w:rsid w:val="00DA581B"/>
    <w:rsid w:val="00DB0A9F"/>
    <w:rsid w:val="00DB377D"/>
    <w:rsid w:val="00DB4D56"/>
    <w:rsid w:val="00DB5096"/>
    <w:rsid w:val="00DB598C"/>
    <w:rsid w:val="00DB6244"/>
    <w:rsid w:val="00DB6CE1"/>
    <w:rsid w:val="00DC06B3"/>
    <w:rsid w:val="00DC1193"/>
    <w:rsid w:val="00DC2D14"/>
    <w:rsid w:val="00DC2D36"/>
    <w:rsid w:val="00DC4734"/>
    <w:rsid w:val="00DC4B9B"/>
    <w:rsid w:val="00DC53EF"/>
    <w:rsid w:val="00DC6586"/>
    <w:rsid w:val="00DC695C"/>
    <w:rsid w:val="00DD2774"/>
    <w:rsid w:val="00DD458F"/>
    <w:rsid w:val="00DD4727"/>
    <w:rsid w:val="00DD5718"/>
    <w:rsid w:val="00DD6348"/>
    <w:rsid w:val="00DD6BCD"/>
    <w:rsid w:val="00DD7A00"/>
    <w:rsid w:val="00DE153A"/>
    <w:rsid w:val="00DE18A0"/>
    <w:rsid w:val="00DE2BC8"/>
    <w:rsid w:val="00DE5608"/>
    <w:rsid w:val="00DE5794"/>
    <w:rsid w:val="00DE58D0"/>
    <w:rsid w:val="00DE654F"/>
    <w:rsid w:val="00DE6AB1"/>
    <w:rsid w:val="00DE6EE5"/>
    <w:rsid w:val="00DE6F81"/>
    <w:rsid w:val="00DE796B"/>
    <w:rsid w:val="00DF0B6E"/>
    <w:rsid w:val="00DF15E0"/>
    <w:rsid w:val="00DF3505"/>
    <w:rsid w:val="00DF37A0"/>
    <w:rsid w:val="00DF3B57"/>
    <w:rsid w:val="00DF4632"/>
    <w:rsid w:val="00DF5422"/>
    <w:rsid w:val="00DF5ACC"/>
    <w:rsid w:val="00E0124A"/>
    <w:rsid w:val="00E014EA"/>
    <w:rsid w:val="00E02C60"/>
    <w:rsid w:val="00E03574"/>
    <w:rsid w:val="00E10F62"/>
    <w:rsid w:val="00E110E7"/>
    <w:rsid w:val="00E11B20"/>
    <w:rsid w:val="00E1317D"/>
    <w:rsid w:val="00E13EFC"/>
    <w:rsid w:val="00E144A0"/>
    <w:rsid w:val="00E157D4"/>
    <w:rsid w:val="00E17FA2"/>
    <w:rsid w:val="00E22330"/>
    <w:rsid w:val="00E2287A"/>
    <w:rsid w:val="00E26013"/>
    <w:rsid w:val="00E2685F"/>
    <w:rsid w:val="00E26935"/>
    <w:rsid w:val="00E278FD"/>
    <w:rsid w:val="00E27EEB"/>
    <w:rsid w:val="00E30B5A"/>
    <w:rsid w:val="00E3123D"/>
    <w:rsid w:val="00E31461"/>
    <w:rsid w:val="00E31BC8"/>
    <w:rsid w:val="00E31D43"/>
    <w:rsid w:val="00E32608"/>
    <w:rsid w:val="00E33225"/>
    <w:rsid w:val="00E34188"/>
    <w:rsid w:val="00E343B3"/>
    <w:rsid w:val="00E345BC"/>
    <w:rsid w:val="00E34B6E"/>
    <w:rsid w:val="00E35559"/>
    <w:rsid w:val="00E35816"/>
    <w:rsid w:val="00E36BFA"/>
    <w:rsid w:val="00E3723A"/>
    <w:rsid w:val="00E37255"/>
    <w:rsid w:val="00E374EF"/>
    <w:rsid w:val="00E37860"/>
    <w:rsid w:val="00E37BB9"/>
    <w:rsid w:val="00E40ADF"/>
    <w:rsid w:val="00E42D1D"/>
    <w:rsid w:val="00E43EA7"/>
    <w:rsid w:val="00E445F5"/>
    <w:rsid w:val="00E446F1"/>
    <w:rsid w:val="00E44A1A"/>
    <w:rsid w:val="00E45AFA"/>
    <w:rsid w:val="00E46886"/>
    <w:rsid w:val="00E46AF7"/>
    <w:rsid w:val="00E470E9"/>
    <w:rsid w:val="00E479FD"/>
    <w:rsid w:val="00E47AEF"/>
    <w:rsid w:val="00E5179F"/>
    <w:rsid w:val="00E51CBD"/>
    <w:rsid w:val="00E53B75"/>
    <w:rsid w:val="00E54E3B"/>
    <w:rsid w:val="00E57565"/>
    <w:rsid w:val="00E5757E"/>
    <w:rsid w:val="00E60253"/>
    <w:rsid w:val="00E61026"/>
    <w:rsid w:val="00E612CB"/>
    <w:rsid w:val="00E618A3"/>
    <w:rsid w:val="00E63838"/>
    <w:rsid w:val="00E64434"/>
    <w:rsid w:val="00E651DC"/>
    <w:rsid w:val="00E67C51"/>
    <w:rsid w:val="00E72EFC"/>
    <w:rsid w:val="00E75421"/>
    <w:rsid w:val="00E7568D"/>
    <w:rsid w:val="00E758EC"/>
    <w:rsid w:val="00E75F44"/>
    <w:rsid w:val="00E76B4B"/>
    <w:rsid w:val="00E80780"/>
    <w:rsid w:val="00E80794"/>
    <w:rsid w:val="00E80B8D"/>
    <w:rsid w:val="00E8234C"/>
    <w:rsid w:val="00E83AA9"/>
    <w:rsid w:val="00E83E56"/>
    <w:rsid w:val="00E85928"/>
    <w:rsid w:val="00E86FC8"/>
    <w:rsid w:val="00E8777D"/>
    <w:rsid w:val="00E87822"/>
    <w:rsid w:val="00E879E3"/>
    <w:rsid w:val="00E90395"/>
    <w:rsid w:val="00E90E49"/>
    <w:rsid w:val="00E917E9"/>
    <w:rsid w:val="00E917F9"/>
    <w:rsid w:val="00E91A57"/>
    <w:rsid w:val="00E9291C"/>
    <w:rsid w:val="00E93FFE"/>
    <w:rsid w:val="00E9427F"/>
    <w:rsid w:val="00E94F8A"/>
    <w:rsid w:val="00E950E2"/>
    <w:rsid w:val="00E95D91"/>
    <w:rsid w:val="00E97255"/>
    <w:rsid w:val="00EA05C7"/>
    <w:rsid w:val="00EA07B0"/>
    <w:rsid w:val="00EA08D9"/>
    <w:rsid w:val="00EA1928"/>
    <w:rsid w:val="00EA38AE"/>
    <w:rsid w:val="00EA43B2"/>
    <w:rsid w:val="00EA4BDB"/>
    <w:rsid w:val="00EA7A41"/>
    <w:rsid w:val="00EA7F2A"/>
    <w:rsid w:val="00EB020B"/>
    <w:rsid w:val="00EB0417"/>
    <w:rsid w:val="00EB077B"/>
    <w:rsid w:val="00EB0BEF"/>
    <w:rsid w:val="00EB3D07"/>
    <w:rsid w:val="00EB442D"/>
    <w:rsid w:val="00EB4EA2"/>
    <w:rsid w:val="00EB6CA8"/>
    <w:rsid w:val="00EB791B"/>
    <w:rsid w:val="00EC0958"/>
    <w:rsid w:val="00EC1851"/>
    <w:rsid w:val="00EC24D5"/>
    <w:rsid w:val="00EC27C6"/>
    <w:rsid w:val="00EC4207"/>
    <w:rsid w:val="00EC437D"/>
    <w:rsid w:val="00EC5653"/>
    <w:rsid w:val="00EC57AE"/>
    <w:rsid w:val="00EC66E9"/>
    <w:rsid w:val="00EC71CE"/>
    <w:rsid w:val="00EC7207"/>
    <w:rsid w:val="00ED0102"/>
    <w:rsid w:val="00ED0627"/>
    <w:rsid w:val="00ED06D6"/>
    <w:rsid w:val="00ED1006"/>
    <w:rsid w:val="00ED1668"/>
    <w:rsid w:val="00ED3EE5"/>
    <w:rsid w:val="00ED427F"/>
    <w:rsid w:val="00ED7073"/>
    <w:rsid w:val="00ED7D61"/>
    <w:rsid w:val="00EE26AC"/>
    <w:rsid w:val="00EE2A1D"/>
    <w:rsid w:val="00EE3C4A"/>
    <w:rsid w:val="00EE509B"/>
    <w:rsid w:val="00EF0562"/>
    <w:rsid w:val="00EF067A"/>
    <w:rsid w:val="00EF18FE"/>
    <w:rsid w:val="00EF20A8"/>
    <w:rsid w:val="00EF3FB3"/>
    <w:rsid w:val="00EF44EC"/>
    <w:rsid w:val="00EF5787"/>
    <w:rsid w:val="00EF60D0"/>
    <w:rsid w:val="00F02BB3"/>
    <w:rsid w:val="00F033F2"/>
    <w:rsid w:val="00F03531"/>
    <w:rsid w:val="00F0528D"/>
    <w:rsid w:val="00F06C67"/>
    <w:rsid w:val="00F06DFD"/>
    <w:rsid w:val="00F071D1"/>
    <w:rsid w:val="00F07533"/>
    <w:rsid w:val="00F078DE"/>
    <w:rsid w:val="00F10629"/>
    <w:rsid w:val="00F11A5C"/>
    <w:rsid w:val="00F14FC1"/>
    <w:rsid w:val="00F15FA5"/>
    <w:rsid w:val="00F16949"/>
    <w:rsid w:val="00F16B68"/>
    <w:rsid w:val="00F205CA"/>
    <w:rsid w:val="00F209B7"/>
    <w:rsid w:val="00F2376F"/>
    <w:rsid w:val="00F243D8"/>
    <w:rsid w:val="00F27736"/>
    <w:rsid w:val="00F27BA2"/>
    <w:rsid w:val="00F30828"/>
    <w:rsid w:val="00F30C03"/>
    <w:rsid w:val="00F313D6"/>
    <w:rsid w:val="00F339BD"/>
    <w:rsid w:val="00F33BA8"/>
    <w:rsid w:val="00F3738F"/>
    <w:rsid w:val="00F40F0C"/>
    <w:rsid w:val="00F41AA3"/>
    <w:rsid w:val="00F4303C"/>
    <w:rsid w:val="00F4766C"/>
    <w:rsid w:val="00F5060E"/>
    <w:rsid w:val="00F507D1"/>
    <w:rsid w:val="00F5094D"/>
    <w:rsid w:val="00F50BF8"/>
    <w:rsid w:val="00F519CE"/>
    <w:rsid w:val="00F51ADA"/>
    <w:rsid w:val="00F51DAF"/>
    <w:rsid w:val="00F5212C"/>
    <w:rsid w:val="00F52879"/>
    <w:rsid w:val="00F53BB3"/>
    <w:rsid w:val="00F55E4A"/>
    <w:rsid w:val="00F567DB"/>
    <w:rsid w:val="00F60203"/>
    <w:rsid w:val="00F607C5"/>
    <w:rsid w:val="00F60DEA"/>
    <w:rsid w:val="00F6302A"/>
    <w:rsid w:val="00F63950"/>
    <w:rsid w:val="00F64C2B"/>
    <w:rsid w:val="00F651BE"/>
    <w:rsid w:val="00F65C8A"/>
    <w:rsid w:val="00F67913"/>
    <w:rsid w:val="00F67F53"/>
    <w:rsid w:val="00F703BE"/>
    <w:rsid w:val="00F71F69"/>
    <w:rsid w:val="00F72B72"/>
    <w:rsid w:val="00F74BB9"/>
    <w:rsid w:val="00F75582"/>
    <w:rsid w:val="00F7685C"/>
    <w:rsid w:val="00F76EFA"/>
    <w:rsid w:val="00F804BE"/>
    <w:rsid w:val="00F817CE"/>
    <w:rsid w:val="00F81A8A"/>
    <w:rsid w:val="00F8456C"/>
    <w:rsid w:val="00F85675"/>
    <w:rsid w:val="00F859D8"/>
    <w:rsid w:val="00F86704"/>
    <w:rsid w:val="00F868F5"/>
    <w:rsid w:val="00F9056A"/>
    <w:rsid w:val="00F90C59"/>
    <w:rsid w:val="00F90F8D"/>
    <w:rsid w:val="00F91532"/>
    <w:rsid w:val="00F92051"/>
    <w:rsid w:val="00F92782"/>
    <w:rsid w:val="00F93AA9"/>
    <w:rsid w:val="00F945FD"/>
    <w:rsid w:val="00F946B9"/>
    <w:rsid w:val="00F96985"/>
    <w:rsid w:val="00F97838"/>
    <w:rsid w:val="00FA18F9"/>
    <w:rsid w:val="00FA2918"/>
    <w:rsid w:val="00FA2BB3"/>
    <w:rsid w:val="00FA4A8E"/>
    <w:rsid w:val="00FA4ACE"/>
    <w:rsid w:val="00FA7BBA"/>
    <w:rsid w:val="00FB0167"/>
    <w:rsid w:val="00FB1BB5"/>
    <w:rsid w:val="00FB4C80"/>
    <w:rsid w:val="00FB5279"/>
    <w:rsid w:val="00FB5A4B"/>
    <w:rsid w:val="00FB6A6A"/>
    <w:rsid w:val="00FC0CA2"/>
    <w:rsid w:val="00FC1287"/>
    <w:rsid w:val="00FC7429"/>
    <w:rsid w:val="00FC774D"/>
    <w:rsid w:val="00FC785D"/>
    <w:rsid w:val="00FD07F6"/>
    <w:rsid w:val="00FD0A75"/>
    <w:rsid w:val="00FD1EC8"/>
    <w:rsid w:val="00FD3923"/>
    <w:rsid w:val="00FD42F0"/>
    <w:rsid w:val="00FD47ED"/>
    <w:rsid w:val="00FD5432"/>
    <w:rsid w:val="00FD5870"/>
    <w:rsid w:val="00FD6B93"/>
    <w:rsid w:val="00FD6D2D"/>
    <w:rsid w:val="00FD74DB"/>
    <w:rsid w:val="00FD7660"/>
    <w:rsid w:val="00FD7EB6"/>
    <w:rsid w:val="00FE047B"/>
    <w:rsid w:val="00FE0588"/>
    <w:rsid w:val="00FE0655"/>
    <w:rsid w:val="00FE173D"/>
    <w:rsid w:val="00FE2365"/>
    <w:rsid w:val="00FE2CB1"/>
    <w:rsid w:val="00FE3305"/>
    <w:rsid w:val="00FE37D7"/>
    <w:rsid w:val="00FE3922"/>
    <w:rsid w:val="00FE4C7B"/>
    <w:rsid w:val="00FE4D1E"/>
    <w:rsid w:val="00FE4E49"/>
    <w:rsid w:val="00FE551F"/>
    <w:rsid w:val="00FE5731"/>
    <w:rsid w:val="00FE5A03"/>
    <w:rsid w:val="00FE5F6A"/>
    <w:rsid w:val="00FE6FB1"/>
    <w:rsid w:val="00FE7336"/>
    <w:rsid w:val="00FE787C"/>
    <w:rsid w:val="00FE7FD8"/>
    <w:rsid w:val="00FF04BD"/>
    <w:rsid w:val="00FF0BED"/>
    <w:rsid w:val="00FF1DE1"/>
    <w:rsid w:val="00FF23F2"/>
    <w:rsid w:val="00FF349B"/>
    <w:rsid w:val="00FF401F"/>
    <w:rsid w:val="00FF43AC"/>
    <w:rsid w:val="00FF45A5"/>
    <w:rsid w:val="00FF529F"/>
    <w:rsid w:val="00FF5A4E"/>
    <w:rsid w:val="00FF5C85"/>
    <w:rsid w:val="00FF5C91"/>
    <w:rsid w:val="00FF5E31"/>
    <w:rsid w:val="00FF79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character" w:customStyle="1" w:styleId="normaltextrun">
    <w:name w:val="normaltextrun"/>
    <w:basedOn w:val="DefaultParagraphFont"/>
    <w:rsid w:val="00565F01"/>
  </w:style>
  <w:style w:type="character" w:customStyle="1" w:styleId="eop">
    <w:name w:val="eop"/>
    <w:basedOn w:val="DefaultParagraphFont"/>
    <w:rsid w:val="00565F01"/>
  </w:style>
  <w:style w:type="character" w:customStyle="1" w:styleId="spellingerror">
    <w:name w:val="spellingerror"/>
    <w:basedOn w:val="DefaultParagraphFont"/>
    <w:rsid w:val="00565F01"/>
  </w:style>
  <w:style w:type="paragraph" w:customStyle="1" w:styleId="paragraph">
    <w:name w:val="paragraph"/>
    <w:basedOn w:val="Normal"/>
    <w:rsid w:val="00565F01"/>
    <w:pPr>
      <w:overflowPunct/>
      <w:autoSpaceDE/>
      <w:autoSpaceDN/>
      <w:adjustRightInd/>
      <w:spacing w:before="100" w:beforeAutospacing="1" w:after="100" w:afterAutospacing="1"/>
      <w:textAlignment w:val="auto"/>
    </w:pPr>
    <w:rPr>
      <w:rFonts w:ascii="Times New Roman" w:hAnsi="Times New Roman"/>
      <w:sz w:val="24"/>
      <w:szCs w:val="24"/>
      <w:lang w:val="de-DE" w:eastAsia="en-US"/>
    </w:rPr>
  </w:style>
  <w:style w:type="paragraph" w:customStyle="1" w:styleId="LGTdoc">
    <w:name w:val="LGTdoc_본문"/>
    <w:basedOn w:val="Normal"/>
    <w:link w:val="LGTdocChar"/>
    <w:qFormat/>
    <w:rsid w:val="0057144E"/>
    <w:pPr>
      <w:widowControl w:val="0"/>
      <w:overflowPunct/>
      <w:autoSpaceDE/>
      <w:autoSpaceDN/>
      <w:adjustRightInd/>
      <w:snapToGrid w:val="0"/>
      <w:spacing w:afterLines="50" w:after="0" w:line="264" w:lineRule="auto"/>
      <w:textAlignment w:val="auto"/>
    </w:pPr>
    <w:rPr>
      <w:rFonts w:asciiTheme="minorHAnsi" w:eastAsia="Batang" w:hAnsiTheme="minorHAnsi" w:cstheme="minorBidi"/>
      <w:kern w:val="2"/>
      <w:sz w:val="24"/>
      <w:szCs w:val="24"/>
      <w:lang w:val="en-US" w:eastAsia="ko-KR"/>
    </w:rPr>
  </w:style>
  <w:style w:type="character" w:customStyle="1" w:styleId="LGTdocChar">
    <w:name w:val="LGTdoc_본문 Char"/>
    <w:link w:val="LGTdoc"/>
    <w:qFormat/>
    <w:rsid w:val="0057144E"/>
    <w:rPr>
      <w:rFonts w:asciiTheme="minorHAnsi" w:eastAsia="Batang" w:hAnsiTheme="minorHAnsi" w:cstheme="minorBidi"/>
      <w:kern w:val="2"/>
      <w:sz w:val="24"/>
      <w:szCs w:val="24"/>
      <w:lang w:val="en-US" w:eastAsia="ko-KR"/>
    </w:rPr>
  </w:style>
  <w:style w:type="character" w:styleId="UnresolvedMention">
    <w:name w:val="Unresolved Mention"/>
    <w:basedOn w:val="DefaultParagraphFont"/>
    <w:uiPriority w:val="99"/>
    <w:semiHidden/>
    <w:unhideWhenUsed/>
    <w:rsid w:val="00D90185"/>
    <w:rPr>
      <w:color w:val="605E5C"/>
      <w:shd w:val="clear" w:color="auto" w:fill="E1DFDD"/>
    </w:rPr>
  </w:style>
  <w:style w:type="paragraph" w:customStyle="1" w:styleId="Style1">
    <w:name w:val="Style1"/>
    <w:basedOn w:val="Normal"/>
    <w:link w:val="Style1Char"/>
    <w:qFormat/>
    <w:rsid w:val="004128B1"/>
    <w:pPr>
      <w:overflowPunct/>
      <w:autoSpaceDE/>
      <w:autoSpaceDN/>
      <w:adjustRightInd/>
      <w:spacing w:after="100" w:afterAutospacing="1" w:line="300" w:lineRule="auto"/>
      <w:ind w:firstLine="360"/>
      <w:contextualSpacing/>
      <w:jc w:val="both"/>
      <w:textAlignment w:val="auto"/>
    </w:pPr>
    <w:rPr>
      <w:rFonts w:ascii="Times New Roman" w:hAnsi="Times New Roman"/>
      <w:lang w:val="en-US" w:eastAsia="zh-CN"/>
    </w:rPr>
  </w:style>
  <w:style w:type="character" w:customStyle="1" w:styleId="Style1Char">
    <w:name w:val="Style1 Char"/>
    <w:link w:val="Style1"/>
    <w:rsid w:val="004128B1"/>
    <w:rPr>
      <w:rFonts w:ascii="Times New Roman" w:hAnsi="Times New Roman"/>
      <w:lang w:val="en-US" w:eastAsia="zh-CN"/>
    </w:rPr>
  </w:style>
  <w:style w:type="table" w:customStyle="1" w:styleId="TableGrid1">
    <w:name w:val="Table Grid1"/>
    <w:basedOn w:val="TableNormal"/>
    <w:next w:val="TableGrid"/>
    <w:uiPriority w:val="39"/>
    <w:rsid w:val="00617CF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60146">
      <w:bodyDiv w:val="1"/>
      <w:marLeft w:val="0"/>
      <w:marRight w:val="0"/>
      <w:marTop w:val="0"/>
      <w:marBottom w:val="0"/>
      <w:divBdr>
        <w:top w:val="none" w:sz="0" w:space="0" w:color="auto"/>
        <w:left w:val="none" w:sz="0" w:space="0" w:color="auto"/>
        <w:bottom w:val="none" w:sz="0" w:space="0" w:color="auto"/>
        <w:right w:val="none" w:sz="0" w:space="0" w:color="auto"/>
      </w:divBdr>
      <w:divsChild>
        <w:div w:id="109514748">
          <w:marLeft w:val="1699"/>
          <w:marRight w:val="0"/>
          <w:marTop w:val="60"/>
          <w:marBottom w:val="0"/>
          <w:divBdr>
            <w:top w:val="none" w:sz="0" w:space="0" w:color="auto"/>
            <w:left w:val="none" w:sz="0" w:space="0" w:color="auto"/>
            <w:bottom w:val="none" w:sz="0" w:space="0" w:color="auto"/>
            <w:right w:val="none" w:sz="0" w:space="0" w:color="auto"/>
          </w:divBdr>
        </w:div>
        <w:div w:id="202864941">
          <w:marLeft w:val="1123"/>
          <w:marRight w:val="0"/>
          <w:marTop w:val="60"/>
          <w:marBottom w:val="0"/>
          <w:divBdr>
            <w:top w:val="none" w:sz="0" w:space="0" w:color="auto"/>
            <w:left w:val="none" w:sz="0" w:space="0" w:color="auto"/>
            <w:bottom w:val="none" w:sz="0" w:space="0" w:color="auto"/>
            <w:right w:val="none" w:sz="0" w:space="0" w:color="auto"/>
          </w:divBdr>
        </w:div>
        <w:div w:id="306250612">
          <w:marLeft w:val="1699"/>
          <w:marRight w:val="0"/>
          <w:marTop w:val="60"/>
          <w:marBottom w:val="0"/>
          <w:divBdr>
            <w:top w:val="none" w:sz="0" w:space="0" w:color="auto"/>
            <w:left w:val="none" w:sz="0" w:space="0" w:color="auto"/>
            <w:bottom w:val="none" w:sz="0" w:space="0" w:color="auto"/>
            <w:right w:val="none" w:sz="0" w:space="0" w:color="auto"/>
          </w:divBdr>
        </w:div>
        <w:div w:id="747193902">
          <w:marLeft w:val="2261"/>
          <w:marRight w:val="0"/>
          <w:marTop w:val="60"/>
          <w:marBottom w:val="0"/>
          <w:divBdr>
            <w:top w:val="none" w:sz="0" w:space="0" w:color="auto"/>
            <w:left w:val="none" w:sz="0" w:space="0" w:color="auto"/>
            <w:bottom w:val="none" w:sz="0" w:space="0" w:color="auto"/>
            <w:right w:val="none" w:sz="0" w:space="0" w:color="auto"/>
          </w:divBdr>
        </w:div>
        <w:div w:id="1051423928">
          <w:marLeft w:val="2261"/>
          <w:marRight w:val="0"/>
          <w:marTop w:val="60"/>
          <w:marBottom w:val="0"/>
          <w:divBdr>
            <w:top w:val="none" w:sz="0" w:space="0" w:color="auto"/>
            <w:left w:val="none" w:sz="0" w:space="0" w:color="auto"/>
            <w:bottom w:val="none" w:sz="0" w:space="0" w:color="auto"/>
            <w:right w:val="none" w:sz="0" w:space="0" w:color="auto"/>
          </w:divBdr>
        </w:div>
        <w:div w:id="1415124203">
          <w:marLeft w:val="1699"/>
          <w:marRight w:val="0"/>
          <w:marTop w:val="60"/>
          <w:marBottom w:val="0"/>
          <w:divBdr>
            <w:top w:val="none" w:sz="0" w:space="0" w:color="auto"/>
            <w:left w:val="none" w:sz="0" w:space="0" w:color="auto"/>
            <w:bottom w:val="none" w:sz="0" w:space="0" w:color="auto"/>
            <w:right w:val="none" w:sz="0" w:space="0" w:color="auto"/>
          </w:divBdr>
        </w:div>
        <w:div w:id="1484664127">
          <w:marLeft w:val="547"/>
          <w:marRight w:val="0"/>
          <w:marTop w:val="60"/>
          <w:marBottom w:val="0"/>
          <w:divBdr>
            <w:top w:val="none" w:sz="0" w:space="0" w:color="auto"/>
            <w:left w:val="none" w:sz="0" w:space="0" w:color="auto"/>
            <w:bottom w:val="none" w:sz="0" w:space="0" w:color="auto"/>
            <w:right w:val="none" w:sz="0" w:space="0" w:color="auto"/>
          </w:divBdr>
        </w:div>
        <w:div w:id="1500851859">
          <w:marLeft w:val="1699"/>
          <w:marRight w:val="0"/>
          <w:marTop w:val="60"/>
          <w:marBottom w:val="0"/>
          <w:divBdr>
            <w:top w:val="none" w:sz="0" w:space="0" w:color="auto"/>
            <w:left w:val="none" w:sz="0" w:space="0" w:color="auto"/>
            <w:bottom w:val="none" w:sz="0" w:space="0" w:color="auto"/>
            <w:right w:val="none" w:sz="0" w:space="0" w:color="auto"/>
          </w:divBdr>
        </w:div>
      </w:divsChild>
    </w:div>
    <w:div w:id="139923377">
      <w:bodyDiv w:val="1"/>
      <w:marLeft w:val="0"/>
      <w:marRight w:val="0"/>
      <w:marTop w:val="0"/>
      <w:marBottom w:val="0"/>
      <w:divBdr>
        <w:top w:val="none" w:sz="0" w:space="0" w:color="auto"/>
        <w:left w:val="none" w:sz="0" w:space="0" w:color="auto"/>
        <w:bottom w:val="none" w:sz="0" w:space="0" w:color="auto"/>
        <w:right w:val="none" w:sz="0" w:space="0" w:color="auto"/>
      </w:divBdr>
      <w:divsChild>
        <w:div w:id="111555855">
          <w:marLeft w:val="1699"/>
          <w:marRight w:val="0"/>
          <w:marTop w:val="60"/>
          <w:marBottom w:val="0"/>
          <w:divBdr>
            <w:top w:val="none" w:sz="0" w:space="0" w:color="auto"/>
            <w:left w:val="none" w:sz="0" w:space="0" w:color="auto"/>
            <w:bottom w:val="none" w:sz="0" w:space="0" w:color="auto"/>
            <w:right w:val="none" w:sz="0" w:space="0" w:color="auto"/>
          </w:divBdr>
        </w:div>
        <w:div w:id="153379804">
          <w:marLeft w:val="547"/>
          <w:marRight w:val="0"/>
          <w:marTop w:val="60"/>
          <w:marBottom w:val="0"/>
          <w:divBdr>
            <w:top w:val="none" w:sz="0" w:space="0" w:color="auto"/>
            <w:left w:val="none" w:sz="0" w:space="0" w:color="auto"/>
            <w:bottom w:val="none" w:sz="0" w:space="0" w:color="auto"/>
            <w:right w:val="none" w:sz="0" w:space="0" w:color="auto"/>
          </w:divBdr>
        </w:div>
        <w:div w:id="615720602">
          <w:marLeft w:val="1699"/>
          <w:marRight w:val="0"/>
          <w:marTop w:val="60"/>
          <w:marBottom w:val="0"/>
          <w:divBdr>
            <w:top w:val="none" w:sz="0" w:space="0" w:color="auto"/>
            <w:left w:val="none" w:sz="0" w:space="0" w:color="auto"/>
            <w:bottom w:val="none" w:sz="0" w:space="0" w:color="auto"/>
            <w:right w:val="none" w:sz="0" w:space="0" w:color="auto"/>
          </w:divBdr>
        </w:div>
        <w:div w:id="742138412">
          <w:marLeft w:val="1699"/>
          <w:marRight w:val="0"/>
          <w:marTop w:val="60"/>
          <w:marBottom w:val="0"/>
          <w:divBdr>
            <w:top w:val="none" w:sz="0" w:space="0" w:color="auto"/>
            <w:left w:val="none" w:sz="0" w:space="0" w:color="auto"/>
            <w:bottom w:val="none" w:sz="0" w:space="0" w:color="auto"/>
            <w:right w:val="none" w:sz="0" w:space="0" w:color="auto"/>
          </w:divBdr>
        </w:div>
        <w:div w:id="1307467184">
          <w:marLeft w:val="1699"/>
          <w:marRight w:val="0"/>
          <w:marTop w:val="60"/>
          <w:marBottom w:val="0"/>
          <w:divBdr>
            <w:top w:val="none" w:sz="0" w:space="0" w:color="auto"/>
            <w:left w:val="none" w:sz="0" w:space="0" w:color="auto"/>
            <w:bottom w:val="none" w:sz="0" w:space="0" w:color="auto"/>
            <w:right w:val="none" w:sz="0" w:space="0" w:color="auto"/>
          </w:divBdr>
        </w:div>
        <w:div w:id="1780951947">
          <w:marLeft w:val="1123"/>
          <w:marRight w:val="0"/>
          <w:marTop w:val="60"/>
          <w:marBottom w:val="0"/>
          <w:divBdr>
            <w:top w:val="none" w:sz="0" w:space="0" w:color="auto"/>
            <w:left w:val="none" w:sz="0" w:space="0" w:color="auto"/>
            <w:bottom w:val="none" w:sz="0" w:space="0" w:color="auto"/>
            <w:right w:val="none" w:sz="0" w:space="0" w:color="auto"/>
          </w:divBdr>
        </w:div>
        <w:div w:id="1896430541">
          <w:marLeft w:val="1699"/>
          <w:marRight w:val="0"/>
          <w:marTop w:val="60"/>
          <w:marBottom w:val="0"/>
          <w:divBdr>
            <w:top w:val="none" w:sz="0" w:space="0" w:color="auto"/>
            <w:left w:val="none" w:sz="0" w:space="0" w:color="auto"/>
            <w:bottom w:val="none" w:sz="0" w:space="0" w:color="auto"/>
            <w:right w:val="none" w:sz="0" w:space="0" w:color="auto"/>
          </w:divBdr>
        </w:div>
      </w:divsChild>
    </w:div>
    <w:div w:id="248735014">
      <w:bodyDiv w:val="1"/>
      <w:marLeft w:val="0"/>
      <w:marRight w:val="0"/>
      <w:marTop w:val="0"/>
      <w:marBottom w:val="0"/>
      <w:divBdr>
        <w:top w:val="none" w:sz="0" w:space="0" w:color="auto"/>
        <w:left w:val="none" w:sz="0" w:space="0" w:color="auto"/>
        <w:bottom w:val="none" w:sz="0" w:space="0" w:color="auto"/>
        <w:right w:val="none" w:sz="0" w:space="0" w:color="auto"/>
      </w:divBdr>
      <w:divsChild>
        <w:div w:id="192156067">
          <w:marLeft w:val="1123"/>
          <w:marRight w:val="0"/>
          <w:marTop w:val="60"/>
          <w:marBottom w:val="0"/>
          <w:divBdr>
            <w:top w:val="none" w:sz="0" w:space="0" w:color="auto"/>
            <w:left w:val="none" w:sz="0" w:space="0" w:color="auto"/>
            <w:bottom w:val="none" w:sz="0" w:space="0" w:color="auto"/>
            <w:right w:val="none" w:sz="0" w:space="0" w:color="auto"/>
          </w:divBdr>
        </w:div>
        <w:div w:id="577329435">
          <w:marLeft w:val="547"/>
          <w:marRight w:val="0"/>
          <w:marTop w:val="60"/>
          <w:marBottom w:val="0"/>
          <w:divBdr>
            <w:top w:val="none" w:sz="0" w:space="0" w:color="auto"/>
            <w:left w:val="none" w:sz="0" w:space="0" w:color="auto"/>
            <w:bottom w:val="none" w:sz="0" w:space="0" w:color="auto"/>
            <w:right w:val="none" w:sz="0" w:space="0" w:color="auto"/>
          </w:divBdr>
        </w:div>
        <w:div w:id="722680669">
          <w:marLeft w:val="1123"/>
          <w:marRight w:val="0"/>
          <w:marTop w:val="60"/>
          <w:marBottom w:val="0"/>
          <w:divBdr>
            <w:top w:val="none" w:sz="0" w:space="0" w:color="auto"/>
            <w:left w:val="none" w:sz="0" w:space="0" w:color="auto"/>
            <w:bottom w:val="none" w:sz="0" w:space="0" w:color="auto"/>
            <w:right w:val="none" w:sz="0" w:space="0" w:color="auto"/>
          </w:divBdr>
        </w:div>
        <w:div w:id="1126586531">
          <w:marLeft w:val="1123"/>
          <w:marRight w:val="0"/>
          <w:marTop w:val="60"/>
          <w:marBottom w:val="0"/>
          <w:divBdr>
            <w:top w:val="none" w:sz="0" w:space="0" w:color="auto"/>
            <w:left w:val="none" w:sz="0" w:space="0" w:color="auto"/>
            <w:bottom w:val="none" w:sz="0" w:space="0" w:color="auto"/>
            <w:right w:val="none" w:sz="0" w:space="0" w:color="auto"/>
          </w:divBdr>
        </w:div>
      </w:divsChild>
    </w:div>
    <w:div w:id="363553920">
      <w:bodyDiv w:val="1"/>
      <w:marLeft w:val="0"/>
      <w:marRight w:val="0"/>
      <w:marTop w:val="0"/>
      <w:marBottom w:val="0"/>
      <w:divBdr>
        <w:top w:val="none" w:sz="0" w:space="0" w:color="auto"/>
        <w:left w:val="none" w:sz="0" w:space="0" w:color="auto"/>
        <w:bottom w:val="none" w:sz="0" w:space="0" w:color="auto"/>
        <w:right w:val="none" w:sz="0" w:space="0" w:color="auto"/>
      </w:divBdr>
      <w:divsChild>
        <w:div w:id="620458064">
          <w:marLeft w:val="547"/>
          <w:marRight w:val="0"/>
          <w:marTop w:val="60"/>
          <w:marBottom w:val="0"/>
          <w:divBdr>
            <w:top w:val="none" w:sz="0" w:space="0" w:color="auto"/>
            <w:left w:val="none" w:sz="0" w:space="0" w:color="auto"/>
            <w:bottom w:val="none" w:sz="0" w:space="0" w:color="auto"/>
            <w:right w:val="none" w:sz="0" w:space="0" w:color="auto"/>
          </w:divBdr>
        </w:div>
        <w:div w:id="683242608">
          <w:marLeft w:val="547"/>
          <w:marRight w:val="0"/>
          <w:marTop w:val="60"/>
          <w:marBottom w:val="0"/>
          <w:divBdr>
            <w:top w:val="none" w:sz="0" w:space="0" w:color="auto"/>
            <w:left w:val="none" w:sz="0" w:space="0" w:color="auto"/>
            <w:bottom w:val="none" w:sz="0" w:space="0" w:color="auto"/>
            <w:right w:val="none" w:sz="0" w:space="0" w:color="auto"/>
          </w:divBdr>
        </w:div>
        <w:div w:id="1765035317">
          <w:marLeft w:val="1123"/>
          <w:marRight w:val="0"/>
          <w:marTop w:val="60"/>
          <w:marBottom w:val="0"/>
          <w:divBdr>
            <w:top w:val="none" w:sz="0" w:space="0" w:color="auto"/>
            <w:left w:val="none" w:sz="0" w:space="0" w:color="auto"/>
            <w:bottom w:val="none" w:sz="0" w:space="0" w:color="auto"/>
            <w:right w:val="none" w:sz="0" w:space="0" w:color="auto"/>
          </w:divBdr>
        </w:div>
      </w:divsChild>
    </w:div>
    <w:div w:id="459881515">
      <w:bodyDiv w:val="1"/>
      <w:marLeft w:val="0"/>
      <w:marRight w:val="0"/>
      <w:marTop w:val="0"/>
      <w:marBottom w:val="0"/>
      <w:divBdr>
        <w:top w:val="none" w:sz="0" w:space="0" w:color="auto"/>
        <w:left w:val="none" w:sz="0" w:space="0" w:color="auto"/>
        <w:bottom w:val="none" w:sz="0" w:space="0" w:color="auto"/>
        <w:right w:val="none" w:sz="0" w:space="0" w:color="auto"/>
      </w:divBdr>
    </w:div>
    <w:div w:id="778839356">
      <w:bodyDiv w:val="1"/>
      <w:marLeft w:val="0"/>
      <w:marRight w:val="0"/>
      <w:marTop w:val="0"/>
      <w:marBottom w:val="0"/>
      <w:divBdr>
        <w:top w:val="none" w:sz="0" w:space="0" w:color="auto"/>
        <w:left w:val="none" w:sz="0" w:space="0" w:color="auto"/>
        <w:bottom w:val="none" w:sz="0" w:space="0" w:color="auto"/>
        <w:right w:val="none" w:sz="0" w:space="0" w:color="auto"/>
      </w:divBdr>
    </w:div>
    <w:div w:id="1498422940">
      <w:bodyDiv w:val="1"/>
      <w:marLeft w:val="0"/>
      <w:marRight w:val="0"/>
      <w:marTop w:val="0"/>
      <w:marBottom w:val="0"/>
      <w:divBdr>
        <w:top w:val="none" w:sz="0" w:space="0" w:color="auto"/>
        <w:left w:val="none" w:sz="0" w:space="0" w:color="auto"/>
        <w:bottom w:val="none" w:sz="0" w:space="0" w:color="auto"/>
        <w:right w:val="none" w:sz="0" w:space="0" w:color="auto"/>
      </w:divBdr>
      <w:divsChild>
        <w:div w:id="461731896">
          <w:marLeft w:val="0"/>
          <w:marRight w:val="0"/>
          <w:marTop w:val="0"/>
          <w:marBottom w:val="0"/>
          <w:divBdr>
            <w:top w:val="none" w:sz="0" w:space="0" w:color="auto"/>
            <w:left w:val="none" w:sz="0" w:space="0" w:color="auto"/>
            <w:bottom w:val="none" w:sz="0" w:space="0" w:color="auto"/>
            <w:right w:val="none" w:sz="0" w:space="0" w:color="auto"/>
          </w:divBdr>
        </w:div>
        <w:div w:id="638725234">
          <w:marLeft w:val="0"/>
          <w:marRight w:val="0"/>
          <w:marTop w:val="0"/>
          <w:marBottom w:val="0"/>
          <w:divBdr>
            <w:top w:val="none" w:sz="0" w:space="0" w:color="auto"/>
            <w:left w:val="none" w:sz="0" w:space="0" w:color="auto"/>
            <w:bottom w:val="none" w:sz="0" w:space="0" w:color="auto"/>
            <w:right w:val="none" w:sz="0" w:space="0" w:color="auto"/>
          </w:divBdr>
        </w:div>
        <w:div w:id="722601731">
          <w:marLeft w:val="0"/>
          <w:marRight w:val="0"/>
          <w:marTop w:val="0"/>
          <w:marBottom w:val="0"/>
          <w:divBdr>
            <w:top w:val="none" w:sz="0" w:space="0" w:color="auto"/>
            <w:left w:val="none" w:sz="0" w:space="0" w:color="auto"/>
            <w:bottom w:val="none" w:sz="0" w:space="0" w:color="auto"/>
            <w:right w:val="none" w:sz="0" w:space="0" w:color="auto"/>
          </w:divBdr>
        </w:div>
        <w:div w:id="905653469">
          <w:marLeft w:val="0"/>
          <w:marRight w:val="0"/>
          <w:marTop w:val="0"/>
          <w:marBottom w:val="0"/>
          <w:divBdr>
            <w:top w:val="none" w:sz="0" w:space="0" w:color="auto"/>
            <w:left w:val="none" w:sz="0" w:space="0" w:color="auto"/>
            <w:bottom w:val="none" w:sz="0" w:space="0" w:color="auto"/>
            <w:right w:val="none" w:sz="0" w:space="0" w:color="auto"/>
          </w:divBdr>
        </w:div>
        <w:div w:id="1698894607">
          <w:marLeft w:val="0"/>
          <w:marRight w:val="0"/>
          <w:marTop w:val="0"/>
          <w:marBottom w:val="0"/>
          <w:divBdr>
            <w:top w:val="none" w:sz="0" w:space="0" w:color="auto"/>
            <w:left w:val="none" w:sz="0" w:space="0" w:color="auto"/>
            <w:bottom w:val="none" w:sz="0" w:space="0" w:color="auto"/>
            <w:right w:val="none" w:sz="0" w:space="0" w:color="auto"/>
          </w:divBdr>
        </w:div>
        <w:div w:id="206355674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A886D-4AD9-423C-8AC4-F19135908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3712</Words>
  <Characters>30075</Characters>
  <Application>Microsoft Office Word</Application>
  <DocSecurity>0</DocSecurity>
  <Lines>250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33720</CharactersWithSpaces>
  <SharedDoc>false</SharedDoc>
  <HLinks>
    <vt:vector size="258" baseType="variant">
      <vt:variant>
        <vt:i4>2031679</vt:i4>
      </vt:variant>
      <vt:variant>
        <vt:i4>152</vt:i4>
      </vt:variant>
      <vt:variant>
        <vt:i4>0</vt:i4>
      </vt:variant>
      <vt:variant>
        <vt:i4>5</vt:i4>
      </vt:variant>
      <vt:variant>
        <vt:lpwstr/>
      </vt:variant>
      <vt:variant>
        <vt:lpwstr>_Toc16863058</vt:lpwstr>
      </vt:variant>
      <vt:variant>
        <vt:i4>1048639</vt:i4>
      </vt:variant>
      <vt:variant>
        <vt:i4>149</vt:i4>
      </vt:variant>
      <vt:variant>
        <vt:i4>0</vt:i4>
      </vt:variant>
      <vt:variant>
        <vt:i4>5</vt:i4>
      </vt:variant>
      <vt:variant>
        <vt:lpwstr/>
      </vt:variant>
      <vt:variant>
        <vt:lpwstr>_Toc16863057</vt:lpwstr>
      </vt:variant>
      <vt:variant>
        <vt:i4>1114175</vt:i4>
      </vt:variant>
      <vt:variant>
        <vt:i4>146</vt:i4>
      </vt:variant>
      <vt:variant>
        <vt:i4>0</vt:i4>
      </vt:variant>
      <vt:variant>
        <vt:i4>5</vt:i4>
      </vt:variant>
      <vt:variant>
        <vt:lpwstr/>
      </vt:variant>
      <vt:variant>
        <vt:lpwstr>_Toc16863056</vt:lpwstr>
      </vt:variant>
      <vt:variant>
        <vt:i4>1179711</vt:i4>
      </vt:variant>
      <vt:variant>
        <vt:i4>143</vt:i4>
      </vt:variant>
      <vt:variant>
        <vt:i4>0</vt:i4>
      </vt:variant>
      <vt:variant>
        <vt:i4>5</vt:i4>
      </vt:variant>
      <vt:variant>
        <vt:lpwstr/>
      </vt:variant>
      <vt:variant>
        <vt:lpwstr>_Toc16863055</vt:lpwstr>
      </vt:variant>
      <vt:variant>
        <vt:i4>1245247</vt:i4>
      </vt:variant>
      <vt:variant>
        <vt:i4>140</vt:i4>
      </vt:variant>
      <vt:variant>
        <vt:i4>0</vt:i4>
      </vt:variant>
      <vt:variant>
        <vt:i4>5</vt:i4>
      </vt:variant>
      <vt:variant>
        <vt:lpwstr/>
      </vt:variant>
      <vt:variant>
        <vt:lpwstr>_Toc16863054</vt:lpwstr>
      </vt:variant>
      <vt:variant>
        <vt:i4>1310783</vt:i4>
      </vt:variant>
      <vt:variant>
        <vt:i4>137</vt:i4>
      </vt:variant>
      <vt:variant>
        <vt:i4>0</vt:i4>
      </vt:variant>
      <vt:variant>
        <vt:i4>5</vt:i4>
      </vt:variant>
      <vt:variant>
        <vt:lpwstr/>
      </vt:variant>
      <vt:variant>
        <vt:lpwstr>_Toc16863053</vt:lpwstr>
      </vt:variant>
      <vt:variant>
        <vt:i4>1376319</vt:i4>
      </vt:variant>
      <vt:variant>
        <vt:i4>134</vt:i4>
      </vt:variant>
      <vt:variant>
        <vt:i4>0</vt:i4>
      </vt:variant>
      <vt:variant>
        <vt:i4>5</vt:i4>
      </vt:variant>
      <vt:variant>
        <vt:lpwstr/>
      </vt:variant>
      <vt:variant>
        <vt:lpwstr>_Toc16863052</vt:lpwstr>
      </vt:variant>
      <vt:variant>
        <vt:i4>1441855</vt:i4>
      </vt:variant>
      <vt:variant>
        <vt:i4>131</vt:i4>
      </vt:variant>
      <vt:variant>
        <vt:i4>0</vt:i4>
      </vt:variant>
      <vt:variant>
        <vt:i4>5</vt:i4>
      </vt:variant>
      <vt:variant>
        <vt:lpwstr/>
      </vt:variant>
      <vt:variant>
        <vt:lpwstr>_Toc16863051</vt:lpwstr>
      </vt:variant>
      <vt:variant>
        <vt:i4>1507391</vt:i4>
      </vt:variant>
      <vt:variant>
        <vt:i4>128</vt:i4>
      </vt:variant>
      <vt:variant>
        <vt:i4>0</vt:i4>
      </vt:variant>
      <vt:variant>
        <vt:i4>5</vt:i4>
      </vt:variant>
      <vt:variant>
        <vt:lpwstr/>
      </vt:variant>
      <vt:variant>
        <vt:lpwstr>_Toc16863050</vt:lpwstr>
      </vt:variant>
      <vt:variant>
        <vt:i4>1966142</vt:i4>
      </vt:variant>
      <vt:variant>
        <vt:i4>125</vt:i4>
      </vt:variant>
      <vt:variant>
        <vt:i4>0</vt:i4>
      </vt:variant>
      <vt:variant>
        <vt:i4>5</vt:i4>
      </vt:variant>
      <vt:variant>
        <vt:lpwstr/>
      </vt:variant>
      <vt:variant>
        <vt:lpwstr>_Toc16863049</vt:lpwstr>
      </vt:variant>
      <vt:variant>
        <vt:i4>2031678</vt:i4>
      </vt:variant>
      <vt:variant>
        <vt:i4>122</vt:i4>
      </vt:variant>
      <vt:variant>
        <vt:i4>0</vt:i4>
      </vt:variant>
      <vt:variant>
        <vt:i4>5</vt:i4>
      </vt:variant>
      <vt:variant>
        <vt:lpwstr/>
      </vt:variant>
      <vt:variant>
        <vt:lpwstr>_Toc16863048</vt:lpwstr>
      </vt:variant>
      <vt:variant>
        <vt:i4>1048638</vt:i4>
      </vt:variant>
      <vt:variant>
        <vt:i4>119</vt:i4>
      </vt:variant>
      <vt:variant>
        <vt:i4>0</vt:i4>
      </vt:variant>
      <vt:variant>
        <vt:i4>5</vt:i4>
      </vt:variant>
      <vt:variant>
        <vt:lpwstr/>
      </vt:variant>
      <vt:variant>
        <vt:lpwstr>_Toc16863047</vt:lpwstr>
      </vt:variant>
      <vt:variant>
        <vt:i4>1114174</vt:i4>
      </vt:variant>
      <vt:variant>
        <vt:i4>116</vt:i4>
      </vt:variant>
      <vt:variant>
        <vt:i4>0</vt:i4>
      </vt:variant>
      <vt:variant>
        <vt:i4>5</vt:i4>
      </vt:variant>
      <vt:variant>
        <vt:lpwstr/>
      </vt:variant>
      <vt:variant>
        <vt:lpwstr>_Toc16863046</vt:lpwstr>
      </vt:variant>
      <vt:variant>
        <vt:i4>1179710</vt:i4>
      </vt:variant>
      <vt:variant>
        <vt:i4>113</vt:i4>
      </vt:variant>
      <vt:variant>
        <vt:i4>0</vt:i4>
      </vt:variant>
      <vt:variant>
        <vt:i4>5</vt:i4>
      </vt:variant>
      <vt:variant>
        <vt:lpwstr/>
      </vt:variant>
      <vt:variant>
        <vt:lpwstr>_Toc16863045</vt:lpwstr>
      </vt:variant>
      <vt:variant>
        <vt:i4>1245246</vt:i4>
      </vt:variant>
      <vt:variant>
        <vt:i4>110</vt:i4>
      </vt:variant>
      <vt:variant>
        <vt:i4>0</vt:i4>
      </vt:variant>
      <vt:variant>
        <vt:i4>5</vt:i4>
      </vt:variant>
      <vt:variant>
        <vt:lpwstr/>
      </vt:variant>
      <vt:variant>
        <vt:lpwstr>_Toc16863044</vt:lpwstr>
      </vt:variant>
      <vt:variant>
        <vt:i4>1310782</vt:i4>
      </vt:variant>
      <vt:variant>
        <vt:i4>107</vt:i4>
      </vt:variant>
      <vt:variant>
        <vt:i4>0</vt:i4>
      </vt:variant>
      <vt:variant>
        <vt:i4>5</vt:i4>
      </vt:variant>
      <vt:variant>
        <vt:lpwstr/>
      </vt:variant>
      <vt:variant>
        <vt:lpwstr>_Toc16863043</vt:lpwstr>
      </vt:variant>
      <vt:variant>
        <vt:i4>1376318</vt:i4>
      </vt:variant>
      <vt:variant>
        <vt:i4>104</vt:i4>
      </vt:variant>
      <vt:variant>
        <vt:i4>0</vt:i4>
      </vt:variant>
      <vt:variant>
        <vt:i4>5</vt:i4>
      </vt:variant>
      <vt:variant>
        <vt:lpwstr/>
      </vt:variant>
      <vt:variant>
        <vt:lpwstr>_Toc16863042</vt:lpwstr>
      </vt:variant>
      <vt:variant>
        <vt:i4>1441854</vt:i4>
      </vt:variant>
      <vt:variant>
        <vt:i4>101</vt:i4>
      </vt:variant>
      <vt:variant>
        <vt:i4>0</vt:i4>
      </vt:variant>
      <vt:variant>
        <vt:i4>5</vt:i4>
      </vt:variant>
      <vt:variant>
        <vt:lpwstr/>
      </vt:variant>
      <vt:variant>
        <vt:lpwstr>_Toc16863041</vt:lpwstr>
      </vt:variant>
      <vt:variant>
        <vt:i4>1507390</vt:i4>
      </vt:variant>
      <vt:variant>
        <vt:i4>98</vt:i4>
      </vt:variant>
      <vt:variant>
        <vt:i4>0</vt:i4>
      </vt:variant>
      <vt:variant>
        <vt:i4>5</vt:i4>
      </vt:variant>
      <vt:variant>
        <vt:lpwstr/>
      </vt:variant>
      <vt:variant>
        <vt:lpwstr>_Toc16863040</vt:lpwstr>
      </vt:variant>
      <vt:variant>
        <vt:i4>1966137</vt:i4>
      </vt:variant>
      <vt:variant>
        <vt:i4>95</vt:i4>
      </vt:variant>
      <vt:variant>
        <vt:i4>0</vt:i4>
      </vt:variant>
      <vt:variant>
        <vt:i4>5</vt:i4>
      </vt:variant>
      <vt:variant>
        <vt:lpwstr/>
      </vt:variant>
      <vt:variant>
        <vt:lpwstr>_Toc16863039</vt:lpwstr>
      </vt:variant>
      <vt:variant>
        <vt:i4>2031673</vt:i4>
      </vt:variant>
      <vt:variant>
        <vt:i4>92</vt:i4>
      </vt:variant>
      <vt:variant>
        <vt:i4>0</vt:i4>
      </vt:variant>
      <vt:variant>
        <vt:i4>5</vt:i4>
      </vt:variant>
      <vt:variant>
        <vt:lpwstr/>
      </vt:variant>
      <vt:variant>
        <vt:lpwstr>_Toc16863038</vt:lpwstr>
      </vt:variant>
      <vt:variant>
        <vt:i4>1048633</vt:i4>
      </vt:variant>
      <vt:variant>
        <vt:i4>89</vt:i4>
      </vt:variant>
      <vt:variant>
        <vt:i4>0</vt:i4>
      </vt:variant>
      <vt:variant>
        <vt:i4>5</vt:i4>
      </vt:variant>
      <vt:variant>
        <vt:lpwstr/>
      </vt:variant>
      <vt:variant>
        <vt:lpwstr>_Toc16863037</vt:lpwstr>
      </vt:variant>
      <vt:variant>
        <vt:i4>1114169</vt:i4>
      </vt:variant>
      <vt:variant>
        <vt:i4>86</vt:i4>
      </vt:variant>
      <vt:variant>
        <vt:i4>0</vt:i4>
      </vt:variant>
      <vt:variant>
        <vt:i4>5</vt:i4>
      </vt:variant>
      <vt:variant>
        <vt:lpwstr/>
      </vt:variant>
      <vt:variant>
        <vt:lpwstr>_Toc16863036</vt:lpwstr>
      </vt:variant>
      <vt:variant>
        <vt:i4>1179705</vt:i4>
      </vt:variant>
      <vt:variant>
        <vt:i4>83</vt:i4>
      </vt:variant>
      <vt:variant>
        <vt:i4>0</vt:i4>
      </vt:variant>
      <vt:variant>
        <vt:i4>5</vt:i4>
      </vt:variant>
      <vt:variant>
        <vt:lpwstr/>
      </vt:variant>
      <vt:variant>
        <vt:lpwstr>_Toc16863035</vt:lpwstr>
      </vt:variant>
      <vt:variant>
        <vt:i4>1245241</vt:i4>
      </vt:variant>
      <vt:variant>
        <vt:i4>80</vt:i4>
      </vt:variant>
      <vt:variant>
        <vt:i4>0</vt:i4>
      </vt:variant>
      <vt:variant>
        <vt:i4>5</vt:i4>
      </vt:variant>
      <vt:variant>
        <vt:lpwstr/>
      </vt:variant>
      <vt:variant>
        <vt:lpwstr>_Toc16863034</vt:lpwstr>
      </vt:variant>
      <vt:variant>
        <vt:i4>1310777</vt:i4>
      </vt:variant>
      <vt:variant>
        <vt:i4>77</vt:i4>
      </vt:variant>
      <vt:variant>
        <vt:i4>0</vt:i4>
      </vt:variant>
      <vt:variant>
        <vt:i4>5</vt:i4>
      </vt:variant>
      <vt:variant>
        <vt:lpwstr/>
      </vt:variant>
      <vt:variant>
        <vt:lpwstr>_Toc16863033</vt:lpwstr>
      </vt:variant>
      <vt:variant>
        <vt:i4>1376313</vt:i4>
      </vt:variant>
      <vt:variant>
        <vt:i4>74</vt:i4>
      </vt:variant>
      <vt:variant>
        <vt:i4>0</vt:i4>
      </vt:variant>
      <vt:variant>
        <vt:i4>5</vt:i4>
      </vt:variant>
      <vt:variant>
        <vt:lpwstr/>
      </vt:variant>
      <vt:variant>
        <vt:lpwstr>_Toc16863032</vt:lpwstr>
      </vt:variant>
      <vt:variant>
        <vt:i4>1441849</vt:i4>
      </vt:variant>
      <vt:variant>
        <vt:i4>71</vt:i4>
      </vt:variant>
      <vt:variant>
        <vt:i4>0</vt:i4>
      </vt:variant>
      <vt:variant>
        <vt:i4>5</vt:i4>
      </vt:variant>
      <vt:variant>
        <vt:lpwstr/>
      </vt:variant>
      <vt:variant>
        <vt:lpwstr>_Toc16863031</vt:lpwstr>
      </vt:variant>
      <vt:variant>
        <vt:i4>1507385</vt:i4>
      </vt:variant>
      <vt:variant>
        <vt:i4>68</vt:i4>
      </vt:variant>
      <vt:variant>
        <vt:i4>0</vt:i4>
      </vt:variant>
      <vt:variant>
        <vt:i4>5</vt:i4>
      </vt:variant>
      <vt:variant>
        <vt:lpwstr/>
      </vt:variant>
      <vt:variant>
        <vt:lpwstr>_Toc16863030</vt:lpwstr>
      </vt:variant>
      <vt:variant>
        <vt:i4>1966136</vt:i4>
      </vt:variant>
      <vt:variant>
        <vt:i4>65</vt:i4>
      </vt:variant>
      <vt:variant>
        <vt:i4>0</vt:i4>
      </vt:variant>
      <vt:variant>
        <vt:i4>5</vt:i4>
      </vt:variant>
      <vt:variant>
        <vt:lpwstr/>
      </vt:variant>
      <vt:variant>
        <vt:lpwstr>_Toc16863029</vt:lpwstr>
      </vt:variant>
      <vt:variant>
        <vt:i4>2031672</vt:i4>
      </vt:variant>
      <vt:variant>
        <vt:i4>62</vt:i4>
      </vt:variant>
      <vt:variant>
        <vt:i4>0</vt:i4>
      </vt:variant>
      <vt:variant>
        <vt:i4>5</vt:i4>
      </vt:variant>
      <vt:variant>
        <vt:lpwstr/>
      </vt:variant>
      <vt:variant>
        <vt:lpwstr>_Toc16863028</vt:lpwstr>
      </vt:variant>
      <vt:variant>
        <vt:i4>1048632</vt:i4>
      </vt:variant>
      <vt:variant>
        <vt:i4>59</vt:i4>
      </vt:variant>
      <vt:variant>
        <vt:i4>0</vt:i4>
      </vt:variant>
      <vt:variant>
        <vt:i4>5</vt:i4>
      </vt:variant>
      <vt:variant>
        <vt:lpwstr/>
      </vt:variant>
      <vt:variant>
        <vt:lpwstr>_Toc16863027</vt:lpwstr>
      </vt:variant>
      <vt:variant>
        <vt:i4>1114168</vt:i4>
      </vt:variant>
      <vt:variant>
        <vt:i4>56</vt:i4>
      </vt:variant>
      <vt:variant>
        <vt:i4>0</vt:i4>
      </vt:variant>
      <vt:variant>
        <vt:i4>5</vt:i4>
      </vt:variant>
      <vt:variant>
        <vt:lpwstr/>
      </vt:variant>
      <vt:variant>
        <vt:lpwstr>_Toc16863026</vt:lpwstr>
      </vt:variant>
      <vt:variant>
        <vt:i4>1179704</vt:i4>
      </vt:variant>
      <vt:variant>
        <vt:i4>53</vt:i4>
      </vt:variant>
      <vt:variant>
        <vt:i4>0</vt:i4>
      </vt:variant>
      <vt:variant>
        <vt:i4>5</vt:i4>
      </vt:variant>
      <vt:variant>
        <vt:lpwstr/>
      </vt:variant>
      <vt:variant>
        <vt:lpwstr>_Toc16863025</vt:lpwstr>
      </vt:variant>
      <vt:variant>
        <vt:i4>1245240</vt:i4>
      </vt:variant>
      <vt:variant>
        <vt:i4>50</vt:i4>
      </vt:variant>
      <vt:variant>
        <vt:i4>0</vt:i4>
      </vt:variant>
      <vt:variant>
        <vt:i4>5</vt:i4>
      </vt:variant>
      <vt:variant>
        <vt:lpwstr/>
      </vt:variant>
      <vt:variant>
        <vt:lpwstr>_Toc16863024</vt:lpwstr>
      </vt:variant>
      <vt:variant>
        <vt:i4>1310776</vt:i4>
      </vt:variant>
      <vt:variant>
        <vt:i4>47</vt:i4>
      </vt:variant>
      <vt:variant>
        <vt:i4>0</vt:i4>
      </vt:variant>
      <vt:variant>
        <vt:i4>5</vt:i4>
      </vt:variant>
      <vt:variant>
        <vt:lpwstr/>
      </vt:variant>
      <vt:variant>
        <vt:lpwstr>_Toc16863023</vt:lpwstr>
      </vt:variant>
      <vt:variant>
        <vt:i4>1179708</vt:i4>
      </vt:variant>
      <vt:variant>
        <vt:i4>41</vt:i4>
      </vt:variant>
      <vt:variant>
        <vt:i4>0</vt:i4>
      </vt:variant>
      <vt:variant>
        <vt:i4>5</vt:i4>
      </vt:variant>
      <vt:variant>
        <vt:lpwstr/>
      </vt:variant>
      <vt:variant>
        <vt:lpwstr>_Toc16863065</vt:lpwstr>
      </vt:variant>
      <vt:variant>
        <vt:i4>1245244</vt:i4>
      </vt:variant>
      <vt:variant>
        <vt:i4>38</vt:i4>
      </vt:variant>
      <vt:variant>
        <vt:i4>0</vt:i4>
      </vt:variant>
      <vt:variant>
        <vt:i4>5</vt:i4>
      </vt:variant>
      <vt:variant>
        <vt:lpwstr/>
      </vt:variant>
      <vt:variant>
        <vt:lpwstr>_Toc16863064</vt:lpwstr>
      </vt:variant>
      <vt:variant>
        <vt:i4>1310780</vt:i4>
      </vt:variant>
      <vt:variant>
        <vt:i4>35</vt:i4>
      </vt:variant>
      <vt:variant>
        <vt:i4>0</vt:i4>
      </vt:variant>
      <vt:variant>
        <vt:i4>5</vt:i4>
      </vt:variant>
      <vt:variant>
        <vt:lpwstr/>
      </vt:variant>
      <vt:variant>
        <vt:lpwstr>_Toc16863063</vt:lpwstr>
      </vt:variant>
      <vt:variant>
        <vt:i4>1376316</vt:i4>
      </vt:variant>
      <vt:variant>
        <vt:i4>32</vt:i4>
      </vt:variant>
      <vt:variant>
        <vt:i4>0</vt:i4>
      </vt:variant>
      <vt:variant>
        <vt:i4>5</vt:i4>
      </vt:variant>
      <vt:variant>
        <vt:lpwstr/>
      </vt:variant>
      <vt:variant>
        <vt:lpwstr>_Toc16863062</vt:lpwstr>
      </vt:variant>
      <vt:variant>
        <vt:i4>1441852</vt:i4>
      </vt:variant>
      <vt:variant>
        <vt:i4>29</vt:i4>
      </vt:variant>
      <vt:variant>
        <vt:i4>0</vt:i4>
      </vt:variant>
      <vt:variant>
        <vt:i4>5</vt:i4>
      </vt:variant>
      <vt:variant>
        <vt:lpwstr/>
      </vt:variant>
      <vt:variant>
        <vt:lpwstr>_Toc16863061</vt:lpwstr>
      </vt:variant>
      <vt:variant>
        <vt:i4>1507388</vt:i4>
      </vt:variant>
      <vt:variant>
        <vt:i4>26</vt:i4>
      </vt:variant>
      <vt:variant>
        <vt:i4>0</vt:i4>
      </vt:variant>
      <vt:variant>
        <vt:i4>5</vt:i4>
      </vt:variant>
      <vt:variant>
        <vt:lpwstr/>
      </vt:variant>
      <vt:variant>
        <vt:lpwstr>_Toc16863060</vt:lpwstr>
      </vt:variant>
      <vt:variant>
        <vt:i4>1966143</vt:i4>
      </vt:variant>
      <vt:variant>
        <vt:i4>23</vt:i4>
      </vt:variant>
      <vt:variant>
        <vt:i4>0</vt:i4>
      </vt:variant>
      <vt:variant>
        <vt:i4>5</vt:i4>
      </vt:variant>
      <vt:variant>
        <vt:lpwstr/>
      </vt:variant>
      <vt:variant>
        <vt:lpwstr>_Toc16863059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2019-08-16T15:06:00Z</dcterms:created>
  <dcterms:modified xsi:type="dcterms:W3CDTF">2019-08-16T15:07:00Z</dcterms:modified>
  <cp:category/>
</cp:coreProperties>
</file>